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1E506" w14:textId="77777777" w:rsidR="00EB5C18" w:rsidRPr="00F837B3" w:rsidRDefault="00EB5C18" w:rsidP="00F837B3">
      <w:pPr>
        <w:pStyle w:val="Default"/>
        <w:jc w:val="center"/>
        <w:rPr>
          <w:b/>
          <w:bCs/>
          <w:color w:val="auto"/>
          <w:sz w:val="22"/>
          <w:szCs w:val="22"/>
        </w:rPr>
      </w:pPr>
      <w:r w:rsidRPr="00F837B3">
        <w:rPr>
          <w:b/>
          <w:bCs/>
          <w:sz w:val="22"/>
          <w:szCs w:val="22"/>
        </w:rPr>
        <w:t>ENERGY NEWS</w:t>
      </w:r>
    </w:p>
    <w:p w14:paraId="4F5BD718" w14:textId="77777777" w:rsidR="00EB5C18" w:rsidRPr="00F837B3" w:rsidRDefault="00EB5C18" w:rsidP="00F837B3">
      <w:pPr>
        <w:pStyle w:val="Default"/>
        <w:jc w:val="center"/>
        <w:rPr>
          <w:b/>
          <w:bCs/>
          <w:color w:val="auto"/>
          <w:sz w:val="22"/>
          <w:szCs w:val="22"/>
        </w:rPr>
      </w:pPr>
      <w:r w:rsidRPr="00F837B3">
        <w:rPr>
          <w:b/>
          <w:bCs/>
          <w:sz w:val="22"/>
          <w:szCs w:val="22"/>
        </w:rPr>
        <w:t>sumár prijatých a navrhovaných zmien v slovenskej legislatíve</w:t>
      </w:r>
    </w:p>
    <w:p w14:paraId="45EDFDF2" w14:textId="0016E26A" w:rsidR="00E74158" w:rsidRDefault="00666429" w:rsidP="00F837B3">
      <w:pPr>
        <w:jc w:val="center"/>
        <w:rPr>
          <w:rFonts w:ascii="Book Antiqua" w:hAnsi="Book Antiqua"/>
          <w:b/>
          <w:bCs/>
        </w:rPr>
      </w:pPr>
      <w:r w:rsidRPr="00F837B3">
        <w:rPr>
          <w:rFonts w:ascii="Book Antiqua" w:hAnsi="Book Antiqua"/>
          <w:b/>
          <w:bCs/>
        </w:rPr>
        <w:t>0</w:t>
      </w:r>
      <w:r w:rsidR="007F50FB">
        <w:rPr>
          <w:rFonts w:ascii="Book Antiqua" w:hAnsi="Book Antiqua"/>
          <w:b/>
          <w:bCs/>
        </w:rPr>
        <w:t>9</w:t>
      </w:r>
      <w:r w:rsidRPr="00F837B3">
        <w:rPr>
          <w:rFonts w:ascii="Book Antiqua" w:hAnsi="Book Antiqua"/>
          <w:b/>
          <w:bCs/>
        </w:rPr>
        <w:t>/2026</w:t>
      </w:r>
    </w:p>
    <w:p w14:paraId="4F01AB3D" w14:textId="77777777" w:rsidR="00951897" w:rsidRDefault="00951897" w:rsidP="00951897">
      <w:pPr>
        <w:spacing w:after="0"/>
        <w:jc w:val="both"/>
        <w:rPr>
          <w:rFonts w:ascii="Book Antiqua" w:hAnsi="Book Antiqua"/>
        </w:rPr>
      </w:pPr>
    </w:p>
    <w:p w14:paraId="0E132505" w14:textId="52260377" w:rsidR="00951897" w:rsidRPr="00110B6F" w:rsidRDefault="00ED6C98" w:rsidP="00951897">
      <w:pPr>
        <w:pStyle w:val="Odsekzoznamu"/>
        <w:numPr>
          <w:ilvl w:val="0"/>
          <w:numId w:val="21"/>
        </w:numPr>
        <w:spacing w:after="120"/>
        <w:ind w:left="567" w:hanging="567"/>
        <w:jc w:val="both"/>
        <w:rPr>
          <w:rFonts w:ascii="Book Antiqua" w:hAnsi="Book Antiqua"/>
        </w:rPr>
      </w:pPr>
      <w:r>
        <w:rPr>
          <w:rFonts w:ascii="Book Antiqua" w:hAnsi="Book Antiqua"/>
          <w:b/>
          <w:bCs/>
        </w:rPr>
        <w:t>N</w:t>
      </w:r>
      <w:r w:rsidR="00951897" w:rsidRPr="00110B6F">
        <w:rPr>
          <w:rFonts w:ascii="Book Antiqua" w:hAnsi="Book Antiqua"/>
          <w:b/>
          <w:bCs/>
        </w:rPr>
        <w:t>ariadenie o zraniteľných odberateľoch elektriny a</w:t>
      </w:r>
      <w:r w:rsidR="00951897">
        <w:rPr>
          <w:rFonts w:ascii="Book Antiqua" w:hAnsi="Book Antiqua"/>
          <w:b/>
          <w:bCs/>
        </w:rPr>
        <w:t> </w:t>
      </w:r>
      <w:r w:rsidR="00951897" w:rsidRPr="00110B6F">
        <w:rPr>
          <w:rFonts w:ascii="Book Antiqua" w:hAnsi="Book Antiqua"/>
          <w:b/>
          <w:bCs/>
        </w:rPr>
        <w:t>plynu</w:t>
      </w:r>
    </w:p>
    <w:p w14:paraId="727EA6A3" w14:textId="77777777" w:rsidR="00ED6C98" w:rsidRDefault="00ED6C98" w:rsidP="00951897">
      <w:pPr>
        <w:pStyle w:val="Odsekzoznamu"/>
        <w:numPr>
          <w:ilvl w:val="0"/>
          <w:numId w:val="25"/>
        </w:numPr>
        <w:spacing w:after="120"/>
        <w:ind w:left="1134" w:hanging="567"/>
        <w:jc w:val="both"/>
        <w:rPr>
          <w:rFonts w:ascii="Book Antiqua" w:hAnsi="Book Antiqua"/>
        </w:rPr>
      </w:pPr>
      <w:r>
        <w:rPr>
          <w:rFonts w:ascii="Book Antiqua" w:hAnsi="Book Antiqua"/>
        </w:rPr>
        <w:t xml:space="preserve">Do procesu MPK vstúpil návrh </w:t>
      </w:r>
      <w:r w:rsidR="00951897" w:rsidRPr="00110B6F">
        <w:rPr>
          <w:rFonts w:ascii="Book Antiqua" w:hAnsi="Book Antiqua"/>
        </w:rPr>
        <w:t>nariadenia vlády, ktor</w:t>
      </w:r>
      <w:r>
        <w:rPr>
          <w:rFonts w:ascii="Book Antiqua" w:hAnsi="Book Antiqua"/>
        </w:rPr>
        <w:t xml:space="preserve">é definuje </w:t>
      </w:r>
      <w:r w:rsidR="00951897" w:rsidRPr="00110B6F">
        <w:rPr>
          <w:rFonts w:ascii="Book Antiqua" w:hAnsi="Book Antiqua"/>
        </w:rPr>
        <w:t>zraniteľn</w:t>
      </w:r>
      <w:r>
        <w:rPr>
          <w:rFonts w:ascii="Book Antiqua" w:hAnsi="Book Antiqua"/>
        </w:rPr>
        <w:t>ých</w:t>
      </w:r>
      <w:r w:rsidR="00951897" w:rsidRPr="00110B6F">
        <w:rPr>
          <w:rFonts w:ascii="Book Antiqua" w:hAnsi="Book Antiqua"/>
        </w:rPr>
        <w:t xml:space="preserve"> odberate</w:t>
      </w:r>
      <w:r>
        <w:rPr>
          <w:rFonts w:ascii="Book Antiqua" w:hAnsi="Book Antiqua"/>
        </w:rPr>
        <w:t xml:space="preserve">ľov </w:t>
      </w:r>
      <w:r w:rsidR="00951897" w:rsidRPr="00110B6F">
        <w:rPr>
          <w:rFonts w:ascii="Book Antiqua" w:hAnsi="Book Antiqua"/>
        </w:rPr>
        <w:t xml:space="preserve">elektriny a plynu. </w:t>
      </w:r>
      <w:r w:rsidRPr="00110B6F">
        <w:rPr>
          <w:rFonts w:ascii="Book Antiqua" w:hAnsi="Book Antiqua"/>
        </w:rPr>
        <w:t>Účinnosť sa navrhuje od 1. novembra 2026.</w:t>
      </w:r>
    </w:p>
    <w:p w14:paraId="0F7FECD6" w14:textId="0E33F406" w:rsidR="00951897" w:rsidRPr="00110B6F" w:rsidRDefault="00ED6C98" w:rsidP="00951897">
      <w:pPr>
        <w:pStyle w:val="Odsekzoznamu"/>
        <w:numPr>
          <w:ilvl w:val="0"/>
          <w:numId w:val="25"/>
        </w:numPr>
        <w:spacing w:after="120"/>
        <w:ind w:left="1134" w:hanging="567"/>
        <w:jc w:val="both"/>
        <w:rPr>
          <w:rFonts w:ascii="Book Antiqua" w:hAnsi="Book Antiqua"/>
        </w:rPr>
      </w:pPr>
      <w:r>
        <w:rPr>
          <w:rFonts w:ascii="Book Antiqua" w:hAnsi="Book Antiqua"/>
        </w:rPr>
        <w:t xml:space="preserve">Rozhodujúce budú </w:t>
      </w:r>
      <w:r w:rsidR="00951897" w:rsidRPr="00110B6F">
        <w:rPr>
          <w:rFonts w:ascii="Book Antiqua" w:hAnsi="Book Antiqua"/>
        </w:rPr>
        <w:t>kritéri</w:t>
      </w:r>
      <w:r>
        <w:rPr>
          <w:rFonts w:ascii="Book Antiqua" w:hAnsi="Book Antiqua"/>
        </w:rPr>
        <w:t>á</w:t>
      </w:r>
      <w:r w:rsidR="00951897" w:rsidRPr="00110B6F">
        <w:rPr>
          <w:rFonts w:ascii="Book Antiqua" w:hAnsi="Book Antiqua"/>
        </w:rPr>
        <w:t xml:space="preserve"> spotreby, spôsobu využitia energie, predmetu vykonávanej činnosti alebo sociálnych, ekonomických či demografických dôvodov.</w:t>
      </w:r>
    </w:p>
    <w:p w14:paraId="39AD942D" w14:textId="77777777" w:rsidR="00951897" w:rsidRPr="00110B6F" w:rsidRDefault="00951897" w:rsidP="00951897">
      <w:pPr>
        <w:pStyle w:val="Odsekzoznamu"/>
        <w:numPr>
          <w:ilvl w:val="0"/>
          <w:numId w:val="25"/>
        </w:numPr>
        <w:spacing w:after="120"/>
        <w:ind w:left="1134" w:hanging="567"/>
        <w:jc w:val="both"/>
        <w:rPr>
          <w:rFonts w:ascii="Book Antiqua" w:hAnsi="Book Antiqua"/>
        </w:rPr>
      </w:pPr>
      <w:r w:rsidRPr="00110B6F">
        <w:rPr>
          <w:rFonts w:ascii="Book Antiqua" w:hAnsi="Book Antiqua"/>
        </w:rPr>
        <w:t>Medzi navrhované kategórie zraniteľných odberateľov mimo domácností patria malí odberatelia elektriny a plynu, odberatelia v určených sociálnych zariadeniach, odberatelia na prevádzku bytových domov s nájomnými bytmi vo vlastníctve obce alebo vyššieho územného celku alebo v rámci štátom podporovaného nájomného bývania, odberatelia do spoločných častí a zariadení bytového domu užívaných výlučne vlastníkmi bytov, ako aj skupina koncových odberateľov – vlastníkov bytov a nebytových priestorov odoberajúcich energiu na výrobu tepla a ohrev teplej vody.</w:t>
      </w:r>
    </w:p>
    <w:p w14:paraId="531A524C" w14:textId="00903528" w:rsidR="00951897" w:rsidRPr="00110B6F" w:rsidRDefault="00951897" w:rsidP="00951897">
      <w:pPr>
        <w:pStyle w:val="Odsekzoznamu"/>
        <w:numPr>
          <w:ilvl w:val="0"/>
          <w:numId w:val="25"/>
        </w:numPr>
        <w:spacing w:after="120"/>
        <w:ind w:left="1134" w:hanging="567"/>
        <w:jc w:val="both"/>
        <w:rPr>
          <w:rFonts w:ascii="Book Antiqua" w:hAnsi="Book Antiqua"/>
        </w:rPr>
      </w:pPr>
      <w:r w:rsidRPr="00110B6F">
        <w:rPr>
          <w:rFonts w:ascii="Book Antiqua" w:hAnsi="Book Antiqua"/>
        </w:rPr>
        <w:t>Pre novú kategóriu odberateľov do spoločných častí a zariadení bytových domov sa navrhuje, aby sa režim zraniteľného odberateľa uplatnil až od 1. januára 2027.</w:t>
      </w:r>
    </w:p>
    <w:p w14:paraId="6717C4FE" w14:textId="77777777" w:rsidR="00951897" w:rsidRPr="00110B6F" w:rsidRDefault="00951897" w:rsidP="00951897">
      <w:pPr>
        <w:pStyle w:val="Odsekzoznamu"/>
        <w:numPr>
          <w:ilvl w:val="0"/>
          <w:numId w:val="25"/>
        </w:numPr>
        <w:spacing w:after="120"/>
        <w:ind w:left="1134" w:hanging="567"/>
        <w:jc w:val="both"/>
        <w:rPr>
          <w:rFonts w:ascii="Book Antiqua" w:hAnsi="Book Antiqua"/>
        </w:rPr>
      </w:pPr>
      <w:r w:rsidRPr="00110B6F">
        <w:rPr>
          <w:rFonts w:ascii="Book Antiqua" w:hAnsi="Book Antiqua"/>
        </w:rPr>
        <w:t>V pripomienkovom konaní bolo k návrhu vznesených 40 pripomienok, z toho 6 zásadných.</w:t>
      </w:r>
    </w:p>
    <w:p w14:paraId="15ED2DC6" w14:textId="655EEC35" w:rsidR="00951897" w:rsidRDefault="00951897" w:rsidP="00951897">
      <w:pPr>
        <w:pStyle w:val="Odsekzoznamu"/>
        <w:numPr>
          <w:ilvl w:val="0"/>
          <w:numId w:val="25"/>
        </w:numPr>
        <w:spacing w:after="120"/>
        <w:ind w:left="1134" w:hanging="567"/>
        <w:jc w:val="both"/>
        <w:rPr>
          <w:rFonts w:ascii="Book Antiqua" w:hAnsi="Book Antiqua"/>
        </w:rPr>
      </w:pPr>
      <w:r w:rsidRPr="00110B6F">
        <w:rPr>
          <w:rFonts w:ascii="Book Antiqua" w:hAnsi="Book Antiqua"/>
        </w:rPr>
        <w:t>Medzi hlavné témy pripomienok patril</w:t>
      </w:r>
      <w:r w:rsidR="00B06416">
        <w:rPr>
          <w:rFonts w:ascii="Book Antiqua" w:hAnsi="Book Antiqua"/>
        </w:rPr>
        <w:t xml:space="preserve">a požiadavka na zosúladenie regulácie novej kategórie zraniteľných odberateľov </w:t>
      </w:r>
      <w:r w:rsidR="00B06416" w:rsidRPr="00110B6F">
        <w:rPr>
          <w:rFonts w:ascii="Book Antiqua" w:hAnsi="Book Antiqua"/>
        </w:rPr>
        <w:t>s existujúcou úpravou cenovej regulácie, keďže podľa doterajších cenových vyhlášok sa táto dodávka posudzuje ako dodávka pre domácnosti.</w:t>
      </w:r>
    </w:p>
    <w:p w14:paraId="49272282" w14:textId="3F83A186" w:rsidR="00B06416" w:rsidRPr="00110B6F" w:rsidRDefault="00B06416" w:rsidP="00951897">
      <w:pPr>
        <w:pStyle w:val="Odsekzoznamu"/>
        <w:numPr>
          <w:ilvl w:val="0"/>
          <w:numId w:val="25"/>
        </w:numPr>
        <w:spacing w:after="120"/>
        <w:ind w:left="1134" w:hanging="567"/>
        <w:jc w:val="both"/>
        <w:rPr>
          <w:rFonts w:ascii="Book Antiqua" w:hAnsi="Book Antiqua"/>
        </w:rPr>
      </w:pPr>
      <w:r>
        <w:rPr>
          <w:rFonts w:ascii="Book Antiqua" w:hAnsi="Book Antiqua"/>
        </w:rPr>
        <w:t xml:space="preserve">Ďalšia zásadná vecná pripomienka zaznela na úplné vypustenie previazanosti </w:t>
      </w:r>
      <w:r w:rsidRPr="00110B6F">
        <w:rPr>
          <w:rFonts w:ascii="Book Antiqua" w:hAnsi="Book Antiqua"/>
        </w:rPr>
        <w:t>na správu bytových domov, s odôvodnením, že samotný výkon správy bytového domu alebo prítomnosť určitých technických zariadení v dome nezakladá dôvod na priznanie štatútu zraniteľného odberateľa.</w:t>
      </w:r>
    </w:p>
    <w:p w14:paraId="6289F48B" w14:textId="37D873FD" w:rsidR="00951897" w:rsidRPr="00110B6F" w:rsidRDefault="00951897" w:rsidP="00B06416">
      <w:pPr>
        <w:pStyle w:val="Odsekzoznamu"/>
        <w:numPr>
          <w:ilvl w:val="0"/>
          <w:numId w:val="25"/>
        </w:numPr>
        <w:spacing w:after="120"/>
        <w:ind w:left="1134" w:hanging="567"/>
        <w:jc w:val="both"/>
        <w:rPr>
          <w:rFonts w:ascii="Book Antiqua" w:hAnsi="Book Antiqua"/>
        </w:rPr>
      </w:pPr>
      <w:r w:rsidRPr="00110B6F">
        <w:rPr>
          <w:rFonts w:ascii="Book Antiqua" w:hAnsi="Book Antiqua"/>
        </w:rPr>
        <w:t>Pripomienky tiež smerovali k doplneniu vplyvov návrhu na podnikateľské prostredie, keďže zavedenie novej kategórie odberateľov si vyžiada úpravy systémov a procesov u dodávateľov, ako aj k prehodnoteniu doteraz vyznačených nulových sociálnych vplyvov.</w:t>
      </w:r>
    </w:p>
    <w:p w14:paraId="28548ACC" w14:textId="77777777" w:rsidR="00B06416" w:rsidRPr="00B06416" w:rsidRDefault="00B06416" w:rsidP="00B06416">
      <w:pPr>
        <w:pStyle w:val="Odsekzoznamu"/>
        <w:spacing w:after="120"/>
        <w:ind w:left="567"/>
        <w:jc w:val="both"/>
        <w:rPr>
          <w:rFonts w:ascii="Book Antiqua" w:hAnsi="Book Antiqua"/>
        </w:rPr>
      </w:pPr>
    </w:p>
    <w:p w14:paraId="3574695C" w14:textId="20AB1E58" w:rsidR="00951897" w:rsidRPr="00A20B17" w:rsidRDefault="00B06416" w:rsidP="00951897">
      <w:pPr>
        <w:pStyle w:val="Odsekzoznamu"/>
        <w:numPr>
          <w:ilvl w:val="0"/>
          <w:numId w:val="21"/>
        </w:numPr>
        <w:spacing w:after="120"/>
        <w:ind w:left="567" w:hanging="567"/>
        <w:jc w:val="both"/>
        <w:rPr>
          <w:rFonts w:ascii="Book Antiqua" w:hAnsi="Book Antiqua"/>
        </w:rPr>
      </w:pPr>
      <w:r>
        <w:rPr>
          <w:rFonts w:ascii="Book Antiqua" w:hAnsi="Book Antiqua"/>
          <w:b/>
          <w:bCs/>
        </w:rPr>
        <w:t>N</w:t>
      </w:r>
      <w:r w:rsidR="00951897" w:rsidRPr="00A20B17">
        <w:rPr>
          <w:rFonts w:ascii="Book Antiqua" w:hAnsi="Book Antiqua"/>
          <w:b/>
          <w:bCs/>
        </w:rPr>
        <w:t>ovel</w:t>
      </w:r>
      <w:r>
        <w:rPr>
          <w:rFonts w:ascii="Book Antiqua" w:hAnsi="Book Antiqua"/>
          <w:b/>
          <w:bCs/>
        </w:rPr>
        <w:t>a</w:t>
      </w:r>
      <w:r w:rsidR="00951897" w:rsidRPr="00A20B17">
        <w:rPr>
          <w:rFonts w:ascii="Book Antiqua" w:hAnsi="Book Antiqua"/>
          <w:b/>
          <w:bCs/>
        </w:rPr>
        <w:t xml:space="preserve"> vyhlášky o overovaní hospodárnosti tepelných zariadení</w:t>
      </w:r>
    </w:p>
    <w:p w14:paraId="592A6CB4" w14:textId="77777777" w:rsidR="00B06416" w:rsidRDefault="00951897" w:rsidP="00951897">
      <w:pPr>
        <w:pStyle w:val="Odsekzoznamu"/>
        <w:numPr>
          <w:ilvl w:val="0"/>
          <w:numId w:val="25"/>
        </w:numPr>
        <w:spacing w:after="120"/>
        <w:ind w:left="1134" w:hanging="567"/>
        <w:jc w:val="both"/>
        <w:rPr>
          <w:rFonts w:ascii="Book Antiqua" w:hAnsi="Book Antiqua"/>
        </w:rPr>
      </w:pPr>
      <w:r>
        <w:rPr>
          <w:rFonts w:ascii="Book Antiqua" w:hAnsi="Book Antiqua"/>
        </w:rPr>
        <w:t>Ú</w:t>
      </w:r>
      <w:r w:rsidR="00B06416">
        <w:rPr>
          <w:rFonts w:ascii="Book Antiqua" w:hAnsi="Book Antiqua"/>
        </w:rPr>
        <w:t xml:space="preserve">RSO </w:t>
      </w:r>
      <w:r w:rsidRPr="00A20B17">
        <w:rPr>
          <w:rFonts w:ascii="Book Antiqua" w:hAnsi="Book Antiqua"/>
        </w:rPr>
        <w:t xml:space="preserve">predložil do </w:t>
      </w:r>
      <w:r w:rsidR="00B06416">
        <w:rPr>
          <w:rFonts w:ascii="Book Antiqua" w:hAnsi="Book Antiqua"/>
        </w:rPr>
        <w:t xml:space="preserve">MPK </w:t>
      </w:r>
      <w:r w:rsidRPr="00A20B17">
        <w:rPr>
          <w:rFonts w:ascii="Book Antiqua" w:hAnsi="Book Antiqua"/>
        </w:rPr>
        <w:t xml:space="preserve">návrh novely vyhlášky č. 328/2005 Z. z., ktorou sa upravuje overovanie hospodárnosti prevádzky sústavy tepelných zariadení, ukazovatele energetickej účinnosti zariadení na výrobu a distribúciu tepla, normatívne ukazovatele spotreby tepla, ako aj rozsah a úhrada súvisiacich nákladov. </w:t>
      </w:r>
    </w:p>
    <w:p w14:paraId="4DFAC5B6" w14:textId="742561EB" w:rsidR="00951897" w:rsidRPr="00110B6F" w:rsidRDefault="00951897" w:rsidP="00951897">
      <w:pPr>
        <w:pStyle w:val="Odsekzoznamu"/>
        <w:numPr>
          <w:ilvl w:val="0"/>
          <w:numId w:val="25"/>
        </w:numPr>
        <w:spacing w:after="120"/>
        <w:ind w:left="1134" w:hanging="567"/>
        <w:jc w:val="both"/>
        <w:rPr>
          <w:rFonts w:ascii="Book Antiqua" w:hAnsi="Book Antiqua"/>
        </w:rPr>
      </w:pPr>
      <w:r w:rsidRPr="00A20B17">
        <w:rPr>
          <w:rFonts w:ascii="Book Antiqua" w:hAnsi="Book Antiqua"/>
        </w:rPr>
        <w:t>Potreba úpravy vyplynula z aplikačnej praxe a konaní o cenovej regulácii; novela zásadne nemení samotný spôsob overovania hospodárnosti, len dopĺňa a aktualizuje doterajšiu úpravu v nadväznosti na zmeny na trhu s teplom.</w:t>
      </w:r>
    </w:p>
    <w:p w14:paraId="49383032" w14:textId="21DE77BD" w:rsidR="00951897" w:rsidRPr="00A20B17" w:rsidRDefault="00951897" w:rsidP="00B06416">
      <w:pPr>
        <w:pStyle w:val="Odsekzoznamu"/>
        <w:numPr>
          <w:ilvl w:val="0"/>
          <w:numId w:val="25"/>
        </w:numPr>
        <w:spacing w:after="120"/>
        <w:ind w:left="1134" w:hanging="567"/>
        <w:jc w:val="both"/>
        <w:rPr>
          <w:rFonts w:ascii="Book Antiqua" w:hAnsi="Book Antiqua"/>
        </w:rPr>
      </w:pPr>
      <w:r w:rsidRPr="00A20B17">
        <w:rPr>
          <w:rFonts w:ascii="Book Antiqua" w:hAnsi="Book Antiqua"/>
          <w:b/>
          <w:bCs/>
        </w:rPr>
        <w:t>Nové ukazovatele pre elektrokotly a tepelné čerpadlá =&gt;</w:t>
      </w:r>
      <w:r w:rsidRPr="00A20B17">
        <w:rPr>
          <w:rFonts w:ascii="Book Antiqua" w:hAnsi="Book Antiqua"/>
        </w:rPr>
        <w:t xml:space="preserve"> Dopĺňajú sa ukazovatele energetickej účinnosti a postup overovania hospodárnosti pre </w:t>
      </w:r>
      <w:r w:rsidRPr="00A20B17">
        <w:rPr>
          <w:rFonts w:ascii="Book Antiqua" w:hAnsi="Book Antiqua"/>
        </w:rPr>
        <w:lastRenderedPageBreak/>
        <w:t>zariadenia na výrobu tepla, ktoré sa v praxi začali používať</w:t>
      </w:r>
      <w:r w:rsidR="00B06416">
        <w:rPr>
          <w:rFonts w:ascii="Book Antiqua" w:hAnsi="Book Antiqua"/>
        </w:rPr>
        <w:t xml:space="preserve">, a to </w:t>
      </w:r>
      <w:r w:rsidRPr="00A20B17">
        <w:rPr>
          <w:rFonts w:ascii="Book Antiqua" w:hAnsi="Book Antiqua"/>
        </w:rPr>
        <w:t>elektrokotly a tepelné čerpadlá</w:t>
      </w:r>
      <w:r w:rsidR="00B06416">
        <w:rPr>
          <w:rFonts w:ascii="Book Antiqua" w:hAnsi="Book Antiqua"/>
        </w:rPr>
        <w:t>,</w:t>
      </w:r>
      <w:r w:rsidRPr="00A20B17">
        <w:rPr>
          <w:rFonts w:ascii="Book Antiqua" w:hAnsi="Book Antiqua"/>
        </w:rPr>
        <w:t xml:space="preserve"> vrátane rozlíšenia ukazovateľov kotlov podľa druhu spaľovaného paliva.</w:t>
      </w:r>
    </w:p>
    <w:p w14:paraId="0B9DD605" w14:textId="77777777" w:rsidR="00951897" w:rsidRDefault="00951897" w:rsidP="00B06416">
      <w:pPr>
        <w:pStyle w:val="Odsekzoznamu"/>
        <w:numPr>
          <w:ilvl w:val="0"/>
          <w:numId w:val="25"/>
        </w:numPr>
        <w:spacing w:after="120"/>
        <w:ind w:left="1134" w:hanging="567"/>
        <w:jc w:val="both"/>
        <w:rPr>
          <w:rFonts w:ascii="Book Antiqua" w:hAnsi="Book Antiqua"/>
        </w:rPr>
      </w:pPr>
      <w:r w:rsidRPr="00A20B17">
        <w:rPr>
          <w:rFonts w:ascii="Book Antiqua" w:hAnsi="Book Antiqua"/>
          <w:b/>
          <w:bCs/>
        </w:rPr>
        <w:t>Zrušenie normatívov spotreby tepla na vykurovanie =&gt;</w:t>
      </w:r>
      <w:r w:rsidRPr="00A20B17">
        <w:rPr>
          <w:rFonts w:ascii="Book Antiqua" w:hAnsi="Book Antiqua"/>
        </w:rPr>
        <w:t xml:space="preserve"> Navrhuje sa vypustenie normatívnych ukazovateľov spotreby tepla na vykurovanie objektov, keďže dodávateľ tepla nezodpovedá za merné spotreby tepla vo vykurovanom objekte za odberným miestom, ktoré ovplyvňujú najmä samotní vlastníci objektov (napríklad stavom zateplenia alebo vyregulovaním vnútorných rozvodov). Zostávajú tak len normatívne ukazovatele spotreby tepla na prípravu teplej vody, a to pre bytový sektor. </w:t>
      </w:r>
    </w:p>
    <w:p w14:paraId="412827DA" w14:textId="77777777" w:rsidR="00951897" w:rsidRPr="00A20B17" w:rsidRDefault="00951897" w:rsidP="00B06416">
      <w:pPr>
        <w:pStyle w:val="Odsekzoznamu"/>
        <w:numPr>
          <w:ilvl w:val="0"/>
          <w:numId w:val="25"/>
        </w:numPr>
        <w:spacing w:after="120"/>
        <w:ind w:left="1134" w:hanging="567"/>
        <w:jc w:val="both"/>
        <w:rPr>
          <w:rFonts w:ascii="Book Antiqua" w:hAnsi="Book Antiqua"/>
        </w:rPr>
      </w:pPr>
      <w:r w:rsidRPr="00A20B17">
        <w:rPr>
          <w:rFonts w:ascii="Book Antiqua" w:hAnsi="Book Antiqua"/>
          <w:b/>
          <w:bCs/>
        </w:rPr>
        <w:t>Nadnormatívna strata pri teplej vode mimo celkovej hospodárnosti =&gt;</w:t>
      </w:r>
      <w:r w:rsidRPr="00A20B17">
        <w:rPr>
          <w:rFonts w:ascii="Book Antiqua" w:hAnsi="Book Antiqua"/>
        </w:rPr>
        <w:t xml:space="preserve"> Výsledok výpočtu nadnormatívnej straty tepla na prípravu a dodávku teplej vody sa navrhuje vyňať z výpočtu celkovej hospodárnosti, keďže ho v rozhodujúcej miere ovplyvňuje správanie konečných spotrebiteľov a dodávateľ tepla naň má len minimálny vplyv.</w:t>
      </w:r>
    </w:p>
    <w:p w14:paraId="3C8DAC37" w14:textId="6EA45B5C" w:rsidR="00951897" w:rsidRDefault="00951897" w:rsidP="00B06416">
      <w:pPr>
        <w:pStyle w:val="Odsekzoznamu"/>
        <w:numPr>
          <w:ilvl w:val="0"/>
          <w:numId w:val="25"/>
        </w:numPr>
        <w:spacing w:after="120"/>
        <w:ind w:left="1134" w:hanging="567"/>
        <w:jc w:val="both"/>
        <w:rPr>
          <w:rFonts w:ascii="Book Antiqua" w:hAnsi="Book Antiqua"/>
        </w:rPr>
      </w:pPr>
      <w:r w:rsidRPr="00A20B17">
        <w:rPr>
          <w:rFonts w:ascii="Book Antiqua" w:hAnsi="Book Antiqua"/>
          <w:b/>
          <w:bCs/>
        </w:rPr>
        <w:t>Posudzované obdobie môže byť dlhšie ako rok</w:t>
      </w:r>
      <w:r w:rsidRPr="00A20B17">
        <w:rPr>
          <w:rFonts w:ascii="Book Antiqua" w:hAnsi="Book Antiqua"/>
        </w:rPr>
        <w:t xml:space="preserve"> =&gt; Navrhuje sa možnosť, aby posudzovaným obdobím pre overenie hospodárnosti bol namiesto predchádzajúceho kalendárneho roka aj ročný priemer za viaceré predchádzajúce roky od posledného overenia.</w:t>
      </w:r>
      <w:r>
        <w:rPr>
          <w:rFonts w:ascii="Book Antiqua" w:hAnsi="Book Antiqua"/>
        </w:rPr>
        <w:t xml:space="preserve"> </w:t>
      </w:r>
    </w:p>
    <w:p w14:paraId="2214818A" w14:textId="77777777" w:rsidR="00951897" w:rsidRPr="00A20B17" w:rsidRDefault="00951897" w:rsidP="00B06416">
      <w:pPr>
        <w:pStyle w:val="Odsekzoznamu"/>
        <w:numPr>
          <w:ilvl w:val="0"/>
          <w:numId w:val="25"/>
        </w:numPr>
        <w:spacing w:after="120"/>
        <w:ind w:left="1134" w:hanging="567"/>
        <w:jc w:val="both"/>
        <w:rPr>
          <w:rFonts w:ascii="Book Antiqua" w:hAnsi="Book Antiqua"/>
        </w:rPr>
      </w:pPr>
      <w:r w:rsidRPr="00A20B17">
        <w:rPr>
          <w:rFonts w:ascii="Book Antiqua" w:hAnsi="Book Antiqua"/>
          <w:b/>
          <w:bCs/>
        </w:rPr>
        <w:t>Aktualizácia ekonomicky oprávnených nákladov</w:t>
      </w:r>
      <w:r w:rsidRPr="00A20B17">
        <w:rPr>
          <w:rFonts w:ascii="Book Antiqua" w:hAnsi="Book Antiqua"/>
        </w:rPr>
        <w:t xml:space="preserve"> =&gt; Aktualizuje sa rozsah a pomenovanie činností súvisiacich s overovaním hospodárnosti a výška maximálnych ekonomicky oprávnených nákladov na ich vykonanie, so zohľadnením inflácie od roku 2005 a prepočtu z pôvodnej meny na eurá. Ich výška sa má do budúcna každoročne upravovať podľa vzorca naviazaného na mieru ročnej inflácie meranej indexom spotrebiteľských cien.</w:t>
      </w:r>
    </w:p>
    <w:p w14:paraId="07BA5085" w14:textId="7364EA5E" w:rsidR="00951897" w:rsidRPr="00A20B17" w:rsidRDefault="00951897" w:rsidP="00B06416">
      <w:pPr>
        <w:pStyle w:val="Odsekzoznamu"/>
        <w:numPr>
          <w:ilvl w:val="0"/>
          <w:numId w:val="25"/>
        </w:numPr>
        <w:spacing w:after="120"/>
        <w:ind w:left="1134" w:hanging="567"/>
        <w:jc w:val="both"/>
        <w:rPr>
          <w:rFonts w:ascii="Book Antiqua" w:hAnsi="Book Antiqua"/>
        </w:rPr>
      </w:pPr>
      <w:r w:rsidRPr="00A20B17">
        <w:rPr>
          <w:rFonts w:ascii="Book Antiqua" w:hAnsi="Book Antiqua"/>
        </w:rPr>
        <w:t>Účinnosť novej úpravy sa navrhuje od 1. januára 2027, pričom sa podľa nej bude prvýkrát postupovať pri overovaní hospodárnosti začatom od tohto dátumu; overovanie začaté do 31. decembra 2026 sa dokončí podľa doterajšej úpravy.</w:t>
      </w:r>
    </w:p>
    <w:p w14:paraId="7C8D351B" w14:textId="77777777" w:rsidR="00951897" w:rsidRDefault="00951897" w:rsidP="00951897">
      <w:pPr>
        <w:spacing w:after="0"/>
        <w:jc w:val="both"/>
        <w:rPr>
          <w:rFonts w:ascii="Book Antiqua" w:hAnsi="Book Antiqua"/>
        </w:rPr>
      </w:pPr>
    </w:p>
    <w:p w14:paraId="503B413F" w14:textId="77777777" w:rsidR="00951897" w:rsidRPr="00110B6F" w:rsidRDefault="00951897" w:rsidP="00951897">
      <w:pPr>
        <w:pStyle w:val="Odsekzoznamu"/>
        <w:numPr>
          <w:ilvl w:val="0"/>
          <w:numId w:val="21"/>
        </w:numPr>
        <w:spacing w:after="120"/>
        <w:ind w:left="567" w:hanging="567"/>
        <w:jc w:val="both"/>
        <w:rPr>
          <w:rFonts w:ascii="Book Antiqua" w:hAnsi="Book Antiqua"/>
          <w:b/>
          <w:bCs/>
        </w:rPr>
      </w:pPr>
      <w:r w:rsidRPr="00110B6F">
        <w:rPr>
          <w:rFonts w:ascii="Book Antiqua" w:hAnsi="Book Antiqua"/>
          <w:b/>
          <w:bCs/>
        </w:rPr>
        <w:t xml:space="preserve">Novela o energetickej hospodárnosti budov v nadväznosti na eurosmernicu </w:t>
      </w:r>
    </w:p>
    <w:p w14:paraId="0C42F238" w14:textId="2F3C9950" w:rsidR="00951897" w:rsidRPr="00A20B17" w:rsidRDefault="00951897" w:rsidP="00ED6C98">
      <w:pPr>
        <w:pStyle w:val="Odsekzoznamu"/>
        <w:numPr>
          <w:ilvl w:val="0"/>
          <w:numId w:val="25"/>
        </w:numPr>
        <w:spacing w:after="120"/>
        <w:ind w:left="1134" w:hanging="567"/>
        <w:jc w:val="both"/>
        <w:rPr>
          <w:rFonts w:ascii="Book Antiqua" w:hAnsi="Book Antiqua"/>
        </w:rPr>
      </w:pPr>
      <w:r w:rsidRPr="00A20B17">
        <w:rPr>
          <w:rFonts w:ascii="Book Antiqua" w:hAnsi="Book Antiqua"/>
        </w:rPr>
        <w:t xml:space="preserve">Národná rada SR definitívne schválila novelu zákona o energetickej hospodárnosti budov, ktorá do slovenského právneho poriadku preberá obsah smernice </w:t>
      </w:r>
      <w:r>
        <w:rPr>
          <w:rFonts w:ascii="Book Antiqua" w:hAnsi="Book Antiqua"/>
        </w:rPr>
        <w:t xml:space="preserve">EPBD </w:t>
      </w:r>
      <w:r w:rsidRPr="00A20B17">
        <w:rPr>
          <w:rFonts w:ascii="Book Antiqua" w:hAnsi="Book Antiqua"/>
        </w:rPr>
        <w:t xml:space="preserve">z apríla 2024. </w:t>
      </w:r>
    </w:p>
    <w:p w14:paraId="7F530A22" w14:textId="7450FED4" w:rsidR="00951897" w:rsidRPr="00A20B17" w:rsidRDefault="00951897" w:rsidP="00ED6C98">
      <w:pPr>
        <w:pStyle w:val="Odsekzoznamu"/>
        <w:numPr>
          <w:ilvl w:val="0"/>
          <w:numId w:val="25"/>
        </w:numPr>
        <w:spacing w:after="120"/>
        <w:ind w:left="1134" w:hanging="567"/>
        <w:jc w:val="both"/>
        <w:rPr>
          <w:rFonts w:ascii="Book Antiqua" w:hAnsi="Book Antiqua"/>
        </w:rPr>
      </w:pPr>
      <w:r w:rsidRPr="00A20B17">
        <w:rPr>
          <w:rFonts w:ascii="Book Antiqua" w:hAnsi="Book Antiqua"/>
        </w:rPr>
        <w:t xml:space="preserve">Zmeny </w:t>
      </w:r>
      <w:r w:rsidR="00ED6C98">
        <w:rPr>
          <w:rFonts w:ascii="Book Antiqua" w:hAnsi="Book Antiqua"/>
        </w:rPr>
        <w:t>sú zásadné a týkajú sa najmä požiadavky na dosiahnutie cieľa nulových emisií do roku 2030 pri určitých kategóriách budov, využívanie lokálnej solárnej energie, potreby infraštruktúry pre elektrické autá, pasporty obnovy budov.</w:t>
      </w:r>
    </w:p>
    <w:p w14:paraId="2FB8B89B" w14:textId="77777777" w:rsidR="00951897" w:rsidRPr="00A20B17" w:rsidRDefault="00951897" w:rsidP="00ED6C98">
      <w:pPr>
        <w:pStyle w:val="Odsekzoznamu"/>
        <w:numPr>
          <w:ilvl w:val="0"/>
          <w:numId w:val="25"/>
        </w:numPr>
        <w:spacing w:after="120"/>
        <w:ind w:left="1134" w:hanging="567"/>
        <w:jc w:val="both"/>
        <w:rPr>
          <w:rFonts w:ascii="Book Antiqua" w:hAnsi="Book Antiqua"/>
        </w:rPr>
      </w:pPr>
      <w:r w:rsidRPr="00A20B17">
        <w:rPr>
          <w:rFonts w:ascii="Book Antiqua" w:hAnsi="Book Antiqua"/>
          <w:b/>
          <w:bCs/>
        </w:rPr>
        <w:t>Cieľ nulových emisií od roku 2030 =&gt;</w:t>
      </w:r>
      <w:r w:rsidRPr="00A20B17">
        <w:rPr>
          <w:rFonts w:ascii="Book Antiqua" w:hAnsi="Book Antiqua"/>
        </w:rPr>
        <w:t xml:space="preserve"> Nová smernica určuje cieľ dosiahnuť od 1. januára 2030 pri nových a významne obnovených budovách energetickú úroveň s nulovými emisiami; pôvodná smernica z roku 2010 upravovala postup a harmonogram dosiahnutia vtedajšej požadovanej energetickej úrovne od 31. decembra 2020.</w:t>
      </w:r>
    </w:p>
    <w:p w14:paraId="5C8EEEB2" w14:textId="77777777" w:rsidR="00951897" w:rsidRPr="00A20B17" w:rsidRDefault="00951897" w:rsidP="00ED6C98">
      <w:pPr>
        <w:pStyle w:val="Odsekzoznamu"/>
        <w:numPr>
          <w:ilvl w:val="0"/>
          <w:numId w:val="25"/>
        </w:numPr>
        <w:spacing w:after="120"/>
        <w:ind w:left="1134" w:hanging="567"/>
        <w:jc w:val="both"/>
        <w:rPr>
          <w:rFonts w:ascii="Book Antiqua" w:hAnsi="Book Antiqua"/>
        </w:rPr>
      </w:pPr>
      <w:r w:rsidRPr="00A20B17">
        <w:rPr>
          <w:rFonts w:ascii="Book Antiqua" w:hAnsi="Book Antiqua"/>
          <w:b/>
          <w:bCs/>
        </w:rPr>
        <w:t>Nová definícia budovy s nulovými emisiami</w:t>
      </w:r>
      <w:r w:rsidRPr="00A20B17">
        <w:rPr>
          <w:rFonts w:ascii="Book Antiqua" w:hAnsi="Book Antiqua"/>
        </w:rPr>
        <w:t xml:space="preserve"> =&gt; Novela zavádza definíciu budovy s nulovými emisiami, upravuje obsah plánu obnovy budov a pravidlá, podľa ktorých majú existujúce budovy spĺňať požiadavky na energetickú hospodárnosť.</w:t>
      </w:r>
    </w:p>
    <w:p w14:paraId="0616F55F" w14:textId="77777777" w:rsidR="00ED6C98" w:rsidRPr="00A20B17" w:rsidRDefault="00ED6C98" w:rsidP="00ED6C98">
      <w:pPr>
        <w:pStyle w:val="Odsekzoznamu"/>
        <w:numPr>
          <w:ilvl w:val="0"/>
          <w:numId w:val="25"/>
        </w:numPr>
        <w:spacing w:after="120"/>
        <w:ind w:left="1134" w:hanging="567"/>
        <w:jc w:val="both"/>
        <w:rPr>
          <w:rFonts w:ascii="Book Antiqua" w:hAnsi="Book Antiqua"/>
        </w:rPr>
      </w:pPr>
      <w:r w:rsidRPr="00A20B17">
        <w:rPr>
          <w:rFonts w:ascii="Book Antiqua" w:hAnsi="Book Antiqua"/>
          <w:b/>
          <w:bCs/>
        </w:rPr>
        <w:lastRenderedPageBreak/>
        <w:t>Infraštruktúra pre elektromobilitu =&gt;</w:t>
      </w:r>
      <w:r w:rsidRPr="00A20B17">
        <w:rPr>
          <w:rFonts w:ascii="Book Antiqua" w:hAnsi="Book Antiqua"/>
        </w:rPr>
        <w:t xml:space="preserve"> Rozširuje sa doterajšia povinnosť vybaviť budovu nabíjacími bodmi a vedením pre elektrické vozidlá, a to pre vlastníkov novej alebo významne obnovovanej budovy s viac ako päť parkovacími miestami, resp. nebytovej budovy s viac ako 20 parkovacími miestami.</w:t>
      </w:r>
    </w:p>
    <w:p w14:paraId="7267FB14" w14:textId="77777777" w:rsidR="00951897" w:rsidRPr="00A20B17" w:rsidRDefault="00951897" w:rsidP="00ED6C98">
      <w:pPr>
        <w:pStyle w:val="Odsekzoznamu"/>
        <w:numPr>
          <w:ilvl w:val="0"/>
          <w:numId w:val="25"/>
        </w:numPr>
        <w:spacing w:after="120"/>
        <w:ind w:left="1134" w:hanging="567"/>
        <w:jc w:val="both"/>
        <w:rPr>
          <w:rFonts w:ascii="Book Antiqua" w:hAnsi="Book Antiqua"/>
        </w:rPr>
      </w:pPr>
      <w:r w:rsidRPr="00A20B17">
        <w:rPr>
          <w:rFonts w:ascii="Book Antiqua" w:hAnsi="Book Antiqua"/>
          <w:b/>
          <w:bCs/>
        </w:rPr>
        <w:t>Pasporty obnovy budovy a využívanie slnečnej energie =&gt;</w:t>
      </w:r>
      <w:r w:rsidRPr="00A20B17">
        <w:rPr>
          <w:rFonts w:ascii="Book Antiqua" w:hAnsi="Book Antiqua"/>
        </w:rPr>
        <w:t xml:space="preserve"> Zavádza sa požiadavka na systém pasportov obnovy budovy a na inštaláciu zariadení využívajúcich slnečnú energiu v budove.</w:t>
      </w:r>
    </w:p>
    <w:p w14:paraId="73C2764B" w14:textId="77777777" w:rsidR="00ED6C98" w:rsidRPr="00ED6C98" w:rsidRDefault="00951897" w:rsidP="00ED6C98">
      <w:pPr>
        <w:pStyle w:val="Odsekzoznamu"/>
        <w:numPr>
          <w:ilvl w:val="0"/>
          <w:numId w:val="25"/>
        </w:numPr>
        <w:spacing w:after="120"/>
        <w:ind w:left="1134" w:hanging="567"/>
        <w:jc w:val="both"/>
        <w:rPr>
          <w:rFonts w:ascii="Book Antiqua" w:hAnsi="Book Antiqua"/>
        </w:rPr>
      </w:pPr>
      <w:r w:rsidRPr="00A20B17">
        <w:rPr>
          <w:rFonts w:ascii="Book Antiqua" w:hAnsi="Book Antiqua"/>
          <w:b/>
          <w:bCs/>
        </w:rPr>
        <w:t>Informačný systém energetických certifikátov a pasportov =&gt;</w:t>
      </w:r>
      <w:r w:rsidRPr="00A20B17">
        <w:rPr>
          <w:rFonts w:ascii="Book Antiqua" w:hAnsi="Book Antiqua"/>
        </w:rPr>
        <w:t xml:space="preserve"> Schváleným pozmeňujúcim návrhom sa bližšie špecifikuje informačný systém, v ktorom sa evidujú energetické certifikáty a pasporty obnovy budovy, vrátane pravidiel poskytovania a používania údajov z tohto systému a z integrovaných evidencií a registrov verejnej správy.</w:t>
      </w:r>
      <w:r w:rsidR="00ED6C98" w:rsidRPr="00ED6C98">
        <w:rPr>
          <w:rFonts w:ascii="Book Antiqua" w:hAnsi="Book Antiqua"/>
          <w:b/>
          <w:bCs/>
        </w:rPr>
        <w:t xml:space="preserve"> </w:t>
      </w:r>
    </w:p>
    <w:p w14:paraId="60CA1B6D" w14:textId="1496AEF4" w:rsidR="00ED6C98" w:rsidRPr="00A20B17" w:rsidRDefault="00ED6C98" w:rsidP="00ED6C98">
      <w:pPr>
        <w:pStyle w:val="Odsekzoznamu"/>
        <w:numPr>
          <w:ilvl w:val="0"/>
          <w:numId w:val="25"/>
        </w:numPr>
        <w:spacing w:after="120"/>
        <w:ind w:left="1134" w:hanging="567"/>
        <w:jc w:val="both"/>
        <w:rPr>
          <w:rFonts w:ascii="Book Antiqua" w:hAnsi="Book Antiqua"/>
        </w:rPr>
      </w:pPr>
      <w:r w:rsidRPr="00A20B17">
        <w:rPr>
          <w:rFonts w:ascii="Book Antiqua" w:hAnsi="Book Antiqua"/>
          <w:b/>
          <w:bCs/>
        </w:rPr>
        <w:t>Súvisiace zmeny zákonov o správe bytových domov</w:t>
      </w:r>
      <w:r w:rsidRPr="00A20B17">
        <w:rPr>
          <w:rFonts w:ascii="Book Antiqua" w:hAnsi="Book Antiqua"/>
        </w:rPr>
        <w:t xml:space="preserve"> =&gt; Novela upravuje aj zákon o správcoch bytových domov a zákon o vlastníctve bytov a nebytových priestorov, najmä v súvislosti s požiadavkami na vzdelávanie správcov vyplývajúcimi zo zákona o vzdelávaní dospelých.</w:t>
      </w:r>
    </w:p>
    <w:p w14:paraId="3B25DE23" w14:textId="448B1703" w:rsidR="00951897" w:rsidRPr="00A20B17" w:rsidRDefault="00951897" w:rsidP="00ED6C98">
      <w:pPr>
        <w:pStyle w:val="Odsekzoznamu"/>
        <w:spacing w:after="120"/>
        <w:ind w:left="1701"/>
        <w:jc w:val="both"/>
        <w:rPr>
          <w:rFonts w:ascii="Book Antiqua" w:hAnsi="Book Antiqua"/>
        </w:rPr>
      </w:pPr>
    </w:p>
    <w:p w14:paraId="74A852D1" w14:textId="5A9297B3" w:rsidR="00D42627" w:rsidRPr="003463FD" w:rsidRDefault="007F50FB" w:rsidP="007F50FB">
      <w:pPr>
        <w:pStyle w:val="Odsekzoznamu"/>
        <w:numPr>
          <w:ilvl w:val="0"/>
          <w:numId w:val="21"/>
        </w:numPr>
        <w:spacing w:after="120"/>
        <w:ind w:left="567" w:hanging="567"/>
        <w:jc w:val="both"/>
        <w:rPr>
          <w:rFonts w:ascii="Book Antiqua" w:hAnsi="Book Antiqua"/>
          <w:b/>
          <w:bCs/>
        </w:rPr>
      </w:pPr>
      <w:r w:rsidRPr="003463FD">
        <w:rPr>
          <w:rFonts w:ascii="Book Antiqua" w:hAnsi="Book Antiqua"/>
          <w:b/>
          <w:bCs/>
        </w:rPr>
        <w:t xml:space="preserve">Nová </w:t>
      </w:r>
      <w:r w:rsidR="00056AE2">
        <w:rPr>
          <w:rFonts w:ascii="Book Antiqua" w:hAnsi="Book Antiqua"/>
          <w:b/>
          <w:bCs/>
        </w:rPr>
        <w:t xml:space="preserve">regulačná </w:t>
      </w:r>
      <w:r w:rsidRPr="003463FD">
        <w:rPr>
          <w:rFonts w:ascii="Book Antiqua" w:hAnsi="Book Antiqua"/>
          <w:b/>
          <w:bCs/>
        </w:rPr>
        <w:t xml:space="preserve">politika </w:t>
      </w:r>
      <w:r w:rsidR="00951897">
        <w:rPr>
          <w:rFonts w:ascii="Book Antiqua" w:hAnsi="Book Antiqua"/>
          <w:b/>
          <w:bCs/>
        </w:rPr>
        <w:t>Ú</w:t>
      </w:r>
      <w:r w:rsidRPr="003463FD">
        <w:rPr>
          <w:rFonts w:ascii="Book Antiqua" w:hAnsi="Book Antiqua"/>
          <w:b/>
          <w:bCs/>
        </w:rPr>
        <w:t>RSO</w:t>
      </w:r>
    </w:p>
    <w:p w14:paraId="2DD5DE4C" w14:textId="1E99DCD9" w:rsidR="007F50FB" w:rsidRPr="007F50FB" w:rsidRDefault="007F50FB" w:rsidP="00ED6C98">
      <w:pPr>
        <w:pStyle w:val="Odsekzoznamu"/>
        <w:numPr>
          <w:ilvl w:val="0"/>
          <w:numId w:val="25"/>
        </w:numPr>
        <w:spacing w:after="120"/>
        <w:ind w:left="1134" w:hanging="567"/>
        <w:jc w:val="both"/>
        <w:rPr>
          <w:rFonts w:ascii="Book Antiqua" w:hAnsi="Book Antiqua"/>
        </w:rPr>
      </w:pPr>
      <w:r w:rsidRPr="007F50FB">
        <w:rPr>
          <w:rFonts w:ascii="Book Antiqua" w:hAnsi="Book Antiqua"/>
        </w:rPr>
        <w:t>ÚRSO pripravuje novú regulačnú politiku pre 7. regulačné obdobie, ktoré bude trvať od 1. januára 2028 do 31. decembra 2032. Regulačná politika je strategický dokument, ktorý určuje pravidlá, ciele a postupy výkonu regulácie v oblasti energetiky v Slovenskej republike.</w:t>
      </w:r>
    </w:p>
    <w:p w14:paraId="0ADABD5B" w14:textId="593EC420" w:rsidR="007F50FB" w:rsidRPr="007F50FB" w:rsidRDefault="007F50FB" w:rsidP="00ED6C98">
      <w:pPr>
        <w:pStyle w:val="Odsekzoznamu"/>
        <w:numPr>
          <w:ilvl w:val="0"/>
          <w:numId w:val="25"/>
        </w:numPr>
        <w:spacing w:after="120"/>
        <w:ind w:left="1134" w:hanging="567"/>
        <w:jc w:val="both"/>
        <w:rPr>
          <w:rFonts w:ascii="Book Antiqua" w:hAnsi="Book Antiqua"/>
        </w:rPr>
      </w:pPr>
      <w:r w:rsidRPr="007F50FB">
        <w:rPr>
          <w:rFonts w:ascii="Book Antiqua" w:hAnsi="Book Antiqua"/>
        </w:rPr>
        <w:t>Nastavenie cieľov pre nové obdobie vychádza zo systematického vyhodnotenia doterajšej regulačnej praxe, ktoré malo identifikovať oblasti s dosiahnutým pokrokom, ako aj oblasti vyžadujúce ďalšie zlepšenie.</w:t>
      </w:r>
    </w:p>
    <w:p w14:paraId="7ACF79E3" w14:textId="3520EEF9" w:rsidR="007F50FB" w:rsidRPr="007F50FB" w:rsidRDefault="007F50FB" w:rsidP="00ED6C98">
      <w:pPr>
        <w:pStyle w:val="Odsekzoznamu"/>
        <w:numPr>
          <w:ilvl w:val="0"/>
          <w:numId w:val="25"/>
        </w:numPr>
        <w:spacing w:after="120"/>
        <w:ind w:left="1134" w:hanging="567"/>
        <w:jc w:val="both"/>
        <w:rPr>
          <w:rFonts w:ascii="Book Antiqua" w:hAnsi="Book Antiqua"/>
        </w:rPr>
      </w:pPr>
      <w:r w:rsidRPr="007F50FB">
        <w:rPr>
          <w:rFonts w:ascii="Book Antiqua" w:hAnsi="Book Antiqua"/>
          <w:b/>
          <w:bCs/>
        </w:rPr>
        <w:t>Stabilnejšie ceny</w:t>
      </w:r>
      <w:r w:rsidRPr="007F50FB">
        <w:rPr>
          <w:rFonts w:ascii="Book Antiqua" w:hAnsi="Book Antiqua"/>
        </w:rPr>
        <w:t xml:space="preserve"> =&gt; Nový regulačný rámec má smerovať k stabilnejšiemu tarifnému prostrediu, zavedeniu mechanizmov na zmiernenie extrémnych cenových výkyvov a k vytvoreniu podmienok pre dlhodobejšie kontraktačné modely.</w:t>
      </w:r>
    </w:p>
    <w:p w14:paraId="54D774D6" w14:textId="4B7C8360" w:rsidR="007F50FB" w:rsidRPr="007F50FB" w:rsidRDefault="007F50FB" w:rsidP="00ED6C98">
      <w:pPr>
        <w:pStyle w:val="Odsekzoznamu"/>
        <w:numPr>
          <w:ilvl w:val="0"/>
          <w:numId w:val="25"/>
        </w:numPr>
        <w:spacing w:after="120"/>
        <w:ind w:left="1134" w:hanging="567"/>
        <w:jc w:val="both"/>
        <w:rPr>
          <w:rFonts w:ascii="Book Antiqua" w:hAnsi="Book Antiqua"/>
        </w:rPr>
      </w:pPr>
      <w:r w:rsidRPr="007F50FB">
        <w:rPr>
          <w:rFonts w:ascii="Book Antiqua" w:hAnsi="Book Antiqua"/>
          <w:b/>
          <w:bCs/>
        </w:rPr>
        <w:t>Podpora konkurencieschopnosti priemyslu</w:t>
      </w:r>
      <w:r w:rsidRPr="007F50FB">
        <w:rPr>
          <w:rFonts w:ascii="Book Antiqua" w:hAnsi="Book Antiqua"/>
        </w:rPr>
        <w:t xml:space="preserve"> =&gt; Rámec má systémovo podporiť konkurencieschopnosť hospodárstva, s osobitným dôrazom na energeticky náročný priemysel, ktorý je citlivý na vývoj cien energií.</w:t>
      </w:r>
    </w:p>
    <w:p w14:paraId="5DD447EE" w14:textId="02C8C734" w:rsidR="007F50FB" w:rsidRPr="007F50FB" w:rsidRDefault="007F50FB" w:rsidP="00ED6C98">
      <w:pPr>
        <w:pStyle w:val="Odsekzoznamu"/>
        <w:numPr>
          <w:ilvl w:val="0"/>
          <w:numId w:val="25"/>
        </w:numPr>
        <w:spacing w:after="120"/>
        <w:ind w:left="1134" w:hanging="567"/>
        <w:jc w:val="both"/>
        <w:rPr>
          <w:rFonts w:ascii="Book Antiqua" w:hAnsi="Book Antiqua"/>
        </w:rPr>
      </w:pPr>
      <w:r w:rsidRPr="007F50FB">
        <w:rPr>
          <w:rFonts w:ascii="Book Antiqua" w:hAnsi="Book Antiqua"/>
          <w:b/>
          <w:bCs/>
        </w:rPr>
        <w:t>Modernizácia sietí</w:t>
      </w:r>
      <w:r w:rsidRPr="007F50FB">
        <w:rPr>
          <w:rFonts w:ascii="Book Antiqua" w:hAnsi="Book Antiqua"/>
        </w:rPr>
        <w:t xml:space="preserve"> =&gt; Regulačná politika má podporiť investície do flexibility, akumulácie energie a modernizácie energetickej infraštruktúry vrátane digitalizácie a inteligentného merania.</w:t>
      </w:r>
    </w:p>
    <w:p w14:paraId="0F9A49CA" w14:textId="6B8EDABF" w:rsidR="007F50FB" w:rsidRPr="007F50FB" w:rsidRDefault="007F50FB" w:rsidP="00ED6C98">
      <w:pPr>
        <w:pStyle w:val="Odsekzoznamu"/>
        <w:numPr>
          <w:ilvl w:val="0"/>
          <w:numId w:val="25"/>
        </w:numPr>
        <w:spacing w:after="120"/>
        <w:ind w:left="1134" w:hanging="567"/>
        <w:jc w:val="both"/>
        <w:rPr>
          <w:rFonts w:ascii="Book Antiqua" w:hAnsi="Book Antiqua"/>
        </w:rPr>
      </w:pPr>
      <w:r w:rsidRPr="007F50FB">
        <w:rPr>
          <w:rFonts w:ascii="Book Antiqua" w:hAnsi="Book Antiqua"/>
          <w:b/>
          <w:bCs/>
        </w:rPr>
        <w:t>Bezpečnosť dodávok</w:t>
      </w:r>
      <w:r w:rsidRPr="007F50FB">
        <w:rPr>
          <w:rFonts w:ascii="Book Antiqua" w:hAnsi="Book Antiqua"/>
        </w:rPr>
        <w:t xml:space="preserve"> =&gt; Súčasťou cieľov je podpora diverzifikácie zdrojov energií a dosiahnutie primeranej úrovne energetickej sebestačnosti, tak aby bola zabezpečená dodávka energie aj v krízových situáciách.</w:t>
      </w:r>
    </w:p>
    <w:p w14:paraId="7BC739E4" w14:textId="626ACED1" w:rsidR="007F50FB" w:rsidRPr="007F50FB" w:rsidRDefault="007F50FB" w:rsidP="00ED6C98">
      <w:pPr>
        <w:pStyle w:val="Odsekzoznamu"/>
        <w:numPr>
          <w:ilvl w:val="0"/>
          <w:numId w:val="25"/>
        </w:numPr>
        <w:spacing w:after="120"/>
        <w:ind w:left="1134" w:hanging="567"/>
        <w:jc w:val="both"/>
        <w:rPr>
          <w:rFonts w:ascii="Book Antiqua" w:hAnsi="Book Antiqua"/>
        </w:rPr>
      </w:pPr>
      <w:r w:rsidRPr="007F50FB">
        <w:rPr>
          <w:rFonts w:ascii="Book Antiqua" w:hAnsi="Book Antiqua"/>
          <w:b/>
          <w:bCs/>
        </w:rPr>
        <w:t>Transparentnosť trhových pravidiel</w:t>
      </w:r>
      <w:r w:rsidRPr="007F50FB">
        <w:rPr>
          <w:rFonts w:ascii="Book Antiqua" w:hAnsi="Book Antiqua"/>
        </w:rPr>
        <w:t xml:space="preserve"> =&gt; Nový rámec má vytvárať predvídateľné prostredie, ktoré podporuje dôveru účastníkov trhu a dlhodobú stabilitu energetického sektora.</w:t>
      </w:r>
    </w:p>
    <w:p w14:paraId="09C97E11" w14:textId="2504CBBA" w:rsidR="007F50FB" w:rsidRPr="007F50FB" w:rsidRDefault="007F50FB" w:rsidP="00ED6C98">
      <w:pPr>
        <w:pStyle w:val="Odsekzoznamu"/>
        <w:numPr>
          <w:ilvl w:val="0"/>
          <w:numId w:val="25"/>
        </w:numPr>
        <w:spacing w:after="120"/>
        <w:ind w:left="1134" w:hanging="567"/>
        <w:jc w:val="both"/>
        <w:rPr>
          <w:rFonts w:ascii="Book Antiqua" w:hAnsi="Book Antiqua"/>
        </w:rPr>
      </w:pPr>
      <w:r w:rsidRPr="007F50FB">
        <w:rPr>
          <w:rFonts w:ascii="Book Antiqua" w:hAnsi="Book Antiqua"/>
          <w:b/>
          <w:bCs/>
        </w:rPr>
        <w:t>Zmena prístupu k energetickej chudobe</w:t>
      </w:r>
      <w:r w:rsidRPr="007F50FB">
        <w:rPr>
          <w:rFonts w:ascii="Book Antiqua" w:hAnsi="Book Antiqua"/>
        </w:rPr>
        <w:t xml:space="preserve"> =&gt; Namiesto plošných foriem podpory má byť zavedený adresnejší prístup k pomoci domácnostiam postihnutým energetickou chudobou.</w:t>
      </w:r>
    </w:p>
    <w:p w14:paraId="40784E3C" w14:textId="77777777" w:rsidR="00412ABD" w:rsidRDefault="00412ABD" w:rsidP="00770B2E">
      <w:pPr>
        <w:spacing w:after="0"/>
        <w:jc w:val="both"/>
        <w:rPr>
          <w:rFonts w:ascii="Book Antiqua" w:hAnsi="Book Antiqua"/>
        </w:rPr>
      </w:pPr>
    </w:p>
    <w:p w14:paraId="5FD76F68" w14:textId="26E6F5E9" w:rsidR="003463FD" w:rsidRPr="003463FD" w:rsidRDefault="003463FD" w:rsidP="00B06416">
      <w:pPr>
        <w:pStyle w:val="Odsekzoznamu"/>
        <w:keepNext/>
        <w:numPr>
          <w:ilvl w:val="0"/>
          <w:numId w:val="21"/>
        </w:numPr>
        <w:spacing w:after="120"/>
        <w:ind w:left="567" w:hanging="567"/>
        <w:jc w:val="both"/>
        <w:rPr>
          <w:rFonts w:ascii="Book Antiqua" w:hAnsi="Book Antiqua"/>
        </w:rPr>
      </w:pPr>
      <w:r w:rsidRPr="003463FD">
        <w:rPr>
          <w:rFonts w:ascii="Book Antiqua" w:hAnsi="Book Antiqua"/>
          <w:b/>
          <w:bCs/>
        </w:rPr>
        <w:lastRenderedPageBreak/>
        <w:t>SIEA mení podmienky projektov Zelená domácnostiam a Zelená solidarita</w:t>
      </w:r>
    </w:p>
    <w:p w14:paraId="38846622" w14:textId="65158EBA" w:rsidR="003463FD" w:rsidRPr="003463FD" w:rsidRDefault="003463FD" w:rsidP="00B06416">
      <w:pPr>
        <w:pStyle w:val="Odsekzoznamu"/>
        <w:keepNext/>
        <w:numPr>
          <w:ilvl w:val="0"/>
          <w:numId w:val="25"/>
        </w:numPr>
        <w:spacing w:after="120"/>
        <w:ind w:left="1134" w:hanging="567"/>
        <w:jc w:val="both"/>
        <w:rPr>
          <w:rFonts w:ascii="Book Antiqua" w:hAnsi="Book Antiqua"/>
        </w:rPr>
      </w:pPr>
      <w:r w:rsidRPr="003463FD">
        <w:rPr>
          <w:rFonts w:ascii="Book Antiqua" w:hAnsi="Book Antiqua"/>
        </w:rPr>
        <w:t>Slovenská inovačná a energetická agentúra (SIEA) zverejnila nové všeobecné podmienky podpory pre národný projekt Zelená domácnostiam a pripravuje aj zmenu podmienok súvisiaceho projektu Zelená solidarita. Nový systém má znížiť chybovosť pri podávaní žiadostí a urýchliť ich spracovanie aj samotné vyplácanie príspevkov.</w:t>
      </w:r>
    </w:p>
    <w:p w14:paraId="55177A57" w14:textId="51A6DDA2" w:rsidR="003463FD" w:rsidRPr="003463FD" w:rsidRDefault="003463FD" w:rsidP="00ED6C98">
      <w:pPr>
        <w:pStyle w:val="Odsekzoznamu"/>
        <w:numPr>
          <w:ilvl w:val="0"/>
          <w:numId w:val="25"/>
        </w:numPr>
        <w:spacing w:after="120"/>
        <w:ind w:left="1134" w:hanging="567"/>
        <w:jc w:val="both"/>
        <w:rPr>
          <w:rFonts w:ascii="Book Antiqua" w:hAnsi="Book Antiqua"/>
        </w:rPr>
      </w:pPr>
      <w:r w:rsidRPr="003463FD">
        <w:rPr>
          <w:rFonts w:ascii="Book Antiqua" w:hAnsi="Book Antiqua"/>
        </w:rPr>
        <w:t>Zmeny možno zhrnúť do nasledujúcich bodov:</w:t>
      </w:r>
    </w:p>
    <w:p w14:paraId="78222C47" w14:textId="3AAD2629" w:rsidR="003463FD" w:rsidRPr="003463FD" w:rsidRDefault="003463FD" w:rsidP="00375A89">
      <w:pPr>
        <w:pStyle w:val="Odsekzoznamu"/>
        <w:numPr>
          <w:ilvl w:val="0"/>
          <w:numId w:val="29"/>
        </w:numPr>
        <w:spacing w:after="120"/>
        <w:ind w:left="1701" w:hanging="567"/>
        <w:jc w:val="both"/>
        <w:rPr>
          <w:rFonts w:ascii="Book Antiqua" w:hAnsi="Book Antiqua"/>
        </w:rPr>
      </w:pPr>
      <w:r w:rsidRPr="003463FD">
        <w:rPr>
          <w:rFonts w:ascii="Book Antiqua" w:hAnsi="Book Antiqua"/>
          <w:b/>
          <w:bCs/>
        </w:rPr>
        <w:t>Priame vyplácanie domácnostiam =&gt;</w:t>
      </w:r>
      <w:r w:rsidRPr="003463FD">
        <w:rPr>
          <w:rFonts w:ascii="Book Antiqua" w:hAnsi="Book Antiqua"/>
        </w:rPr>
        <w:t xml:space="preserve"> Doterajší systém poukážok sa nahrádza vyplácaním finančných príspevkov priamo na bankové účty domácností. Keďže SIEA už nebude prostriedky posielať zhotoviteľom, žiadatelia si budú môcť vybrať ľubovoľného dodávateľa na trhu; zoznam oprávnených zhotoviteľov zostáva záväzný len pre projekt Zelená solidarita.</w:t>
      </w:r>
    </w:p>
    <w:p w14:paraId="55ADBDF6" w14:textId="74759D80" w:rsidR="003463FD" w:rsidRPr="003463FD" w:rsidRDefault="003463FD" w:rsidP="00375A89">
      <w:pPr>
        <w:pStyle w:val="Odsekzoznamu"/>
        <w:numPr>
          <w:ilvl w:val="0"/>
          <w:numId w:val="29"/>
        </w:numPr>
        <w:spacing w:after="120"/>
        <w:ind w:left="1701" w:hanging="567"/>
        <w:jc w:val="both"/>
        <w:rPr>
          <w:rFonts w:ascii="Book Antiqua" w:hAnsi="Book Antiqua"/>
        </w:rPr>
      </w:pPr>
      <w:r w:rsidRPr="003463FD">
        <w:rPr>
          <w:rFonts w:ascii="Book Antiqua" w:hAnsi="Book Antiqua"/>
          <w:b/>
          <w:bCs/>
        </w:rPr>
        <w:t>Nový informačný systém a jednoduchší formulár =&gt;</w:t>
      </w:r>
      <w:r w:rsidRPr="003463FD">
        <w:rPr>
          <w:rFonts w:ascii="Book Antiqua" w:hAnsi="Book Antiqua"/>
        </w:rPr>
        <w:t xml:space="preserve"> Domácnosti získajú stály prehľad o stave žiadosti a budú si môcť samy opravovať väčší rozsah údajov vrátane čísla listu vlastníctva a súpisného čísla; meniť nebude možné druh zariadenia, katastrálne územie, obec, okres a e-mailovú adresu. Ruší sa povinnosť predkladať samostatné doklady o inštalácii a vopred zadávať výkon zariadenia. </w:t>
      </w:r>
    </w:p>
    <w:p w14:paraId="69800B97" w14:textId="252D146C" w:rsidR="003463FD" w:rsidRPr="003463FD" w:rsidRDefault="003463FD" w:rsidP="00375A89">
      <w:pPr>
        <w:pStyle w:val="Odsekzoznamu"/>
        <w:numPr>
          <w:ilvl w:val="0"/>
          <w:numId w:val="29"/>
        </w:numPr>
        <w:spacing w:after="120"/>
        <w:ind w:left="1701" w:hanging="567"/>
        <w:jc w:val="both"/>
        <w:rPr>
          <w:rFonts w:ascii="Book Antiqua" w:hAnsi="Book Antiqua"/>
        </w:rPr>
      </w:pPr>
      <w:r w:rsidRPr="003463FD">
        <w:rPr>
          <w:rFonts w:ascii="Book Antiqua" w:hAnsi="Book Antiqua"/>
          <w:b/>
          <w:bCs/>
        </w:rPr>
        <w:t>Zásobníkový systém a priebežné uvoľňovanie prostriedkov =&gt;</w:t>
      </w:r>
      <w:r w:rsidRPr="003463FD">
        <w:rPr>
          <w:rFonts w:ascii="Book Antiqua" w:hAnsi="Book Antiqua"/>
        </w:rPr>
        <w:t xml:space="preserve"> Žiadosti o rezerváciu budú zaraďované podľa času podania a spracovávané plynule, bez nárazových vĺn. Na podporu je k dispozícii viac ako 28 miliónov eur; SIEA bude nové rezervácie spúšťať automaticky vždy, keď celkový objem rezervovaných financií klesne pod 1 milión eur, až do naplnenia limitu 2 milióny eur. Po potvrdení rezervácie bude mať domácnosť 45 dní na podanie žiadosti o vyplatenie príspevku vrátane dokladov o dokončenej inštalácii a zaplatení; po kontrole a podpise zmluvy SIEA vyplatí príspevok na účet domácnosti.</w:t>
      </w:r>
    </w:p>
    <w:p w14:paraId="4EDF870D" w14:textId="26385757" w:rsidR="003463FD" w:rsidRPr="003463FD" w:rsidRDefault="003463FD" w:rsidP="00375A89">
      <w:pPr>
        <w:pStyle w:val="Odsekzoznamu"/>
        <w:numPr>
          <w:ilvl w:val="0"/>
          <w:numId w:val="29"/>
        </w:numPr>
        <w:spacing w:after="120"/>
        <w:ind w:left="1701" w:hanging="567"/>
        <w:jc w:val="both"/>
        <w:rPr>
          <w:rFonts w:ascii="Book Antiqua" w:hAnsi="Book Antiqua"/>
        </w:rPr>
      </w:pPr>
      <w:r w:rsidRPr="003463FD">
        <w:rPr>
          <w:rFonts w:ascii="Book Antiqua" w:hAnsi="Book Antiqua"/>
          <w:b/>
          <w:bCs/>
        </w:rPr>
        <w:t>Nová registrácia pre pôvodne registrovaných záujemcov =&gt;</w:t>
      </w:r>
      <w:r w:rsidRPr="003463FD">
        <w:rPr>
          <w:rFonts w:ascii="Book Antiqua" w:hAnsi="Book Antiqua"/>
        </w:rPr>
        <w:t xml:space="preserve"> </w:t>
      </w:r>
      <w:r w:rsidR="0089474F">
        <w:rPr>
          <w:rFonts w:ascii="Book Antiqua" w:hAnsi="Book Antiqua"/>
        </w:rPr>
        <w:t>N</w:t>
      </w:r>
      <w:r w:rsidRPr="003463FD">
        <w:rPr>
          <w:rFonts w:ascii="Book Antiqua" w:hAnsi="Book Antiqua"/>
        </w:rPr>
        <w:t>ovú registráciu musia absolvovať aj záujemcovia registrovaní v pôvodnom systéme, keďže pôvodná registrácia neznamenala rezerváciu prostriedkov ani konkrétnu výšku príspevku. Registrácia v starom systéme bola uzavretá 15. septembra 2026; doteraz registrovaní záujemcovia budú na novú registráciu vyzvaní e-mailom.</w:t>
      </w:r>
    </w:p>
    <w:p w14:paraId="4DBA4F36" w14:textId="48B4A9B4" w:rsidR="003463FD" w:rsidRPr="003463FD" w:rsidRDefault="003463FD" w:rsidP="00375A89">
      <w:pPr>
        <w:pStyle w:val="Odsekzoznamu"/>
        <w:numPr>
          <w:ilvl w:val="0"/>
          <w:numId w:val="29"/>
        </w:numPr>
        <w:spacing w:after="120"/>
        <w:ind w:left="1701" w:hanging="567"/>
        <w:jc w:val="both"/>
        <w:rPr>
          <w:rFonts w:ascii="Book Antiqua" w:hAnsi="Book Antiqua"/>
        </w:rPr>
      </w:pPr>
      <w:r w:rsidRPr="003463FD">
        <w:rPr>
          <w:rFonts w:ascii="Book Antiqua" w:hAnsi="Book Antiqua"/>
          <w:b/>
          <w:bCs/>
        </w:rPr>
        <w:t>Rozšírenie okruhu oprávnených žiadateľov a zariadení =&gt;</w:t>
      </w:r>
      <w:r w:rsidRPr="003463FD">
        <w:rPr>
          <w:rFonts w:ascii="Book Antiqua" w:hAnsi="Book Antiqua"/>
        </w:rPr>
        <w:t xml:space="preserve"> Podporiť bude možné zariadenia uhradené a nainštalované po 1. januári 2024, a to v skolaudovaných rodinných domoch s prideleným súpisným číslom; podpora sa rozšíri aj na samostatné bytové jednotky v rodinných domoch. Podpora nebude určená pre novostavby pred kolaudáciou ani pre bytové domy.</w:t>
      </w:r>
    </w:p>
    <w:p w14:paraId="10FB7B1D" w14:textId="32F2A310" w:rsidR="003463FD" w:rsidRPr="003463FD" w:rsidRDefault="003463FD" w:rsidP="00375A89">
      <w:pPr>
        <w:pStyle w:val="Odsekzoznamu"/>
        <w:numPr>
          <w:ilvl w:val="0"/>
          <w:numId w:val="29"/>
        </w:numPr>
        <w:spacing w:after="120"/>
        <w:ind w:left="1701" w:hanging="567"/>
        <w:jc w:val="both"/>
        <w:rPr>
          <w:rFonts w:ascii="Book Antiqua" w:hAnsi="Book Antiqua"/>
        </w:rPr>
      </w:pPr>
      <w:r w:rsidRPr="003463FD">
        <w:rPr>
          <w:rFonts w:ascii="Book Antiqua" w:hAnsi="Book Antiqua"/>
          <w:b/>
          <w:bCs/>
        </w:rPr>
        <w:t>Úprava výšky príspevkov =&gt;</w:t>
      </w:r>
      <w:r w:rsidRPr="003463FD">
        <w:rPr>
          <w:rFonts w:ascii="Book Antiqua" w:hAnsi="Book Antiqua"/>
        </w:rPr>
        <w:t xml:space="preserve"> Maximálny príspevok na tepelné čerpadlá sa zvyšuje zo 4 370 na 4 600 eur a na kotly na biomasu z 1 500 na 1 800 eur; pri slnečných kolektoroch zostáva maximálna výška 2 300 eur. Pri fotovoltike sa maximálny podporovaný výkon znižuje z doterajších 3 kW, resp. 7 kW, na 2 kW a maximálny príspevok klesá na 1 150 eur z doterajších 4 025 eur, s cieľom zamerať podporu na inštalácie, pri ktorých dokážu domácnosti vyrobenú elektrinu reálne spotrebovať, a presunúť väčšiu časť zdrojov na zariadenia priamo znižujúce emisie CO</w:t>
      </w:r>
      <w:r w:rsidRPr="003463FD">
        <w:rPr>
          <w:rFonts w:ascii="Cambria Math" w:hAnsi="Cambria Math" w:cs="Cambria Math"/>
        </w:rPr>
        <w:t>₂</w:t>
      </w:r>
      <w:r w:rsidRPr="003463FD">
        <w:rPr>
          <w:rFonts w:ascii="Book Antiqua" w:hAnsi="Book Antiqua"/>
        </w:rPr>
        <w:t xml:space="preserve"> pri vykurovan</w:t>
      </w:r>
      <w:r w:rsidRPr="003463FD">
        <w:rPr>
          <w:rFonts w:ascii="Book Antiqua" w:hAnsi="Book Antiqua" w:cs="Book Antiqua"/>
        </w:rPr>
        <w:t>í</w:t>
      </w:r>
      <w:r w:rsidRPr="003463FD">
        <w:rPr>
          <w:rFonts w:ascii="Book Antiqua" w:hAnsi="Book Antiqua"/>
        </w:rPr>
        <w:t>. Osobitn</w:t>
      </w:r>
      <w:r w:rsidRPr="003463FD">
        <w:rPr>
          <w:rFonts w:ascii="Book Antiqua" w:hAnsi="Book Antiqua" w:cs="Book Antiqua"/>
        </w:rPr>
        <w:t>é</w:t>
      </w:r>
      <w:r w:rsidRPr="003463FD">
        <w:rPr>
          <w:rFonts w:ascii="Book Antiqua" w:hAnsi="Book Antiqua"/>
        </w:rPr>
        <w:t xml:space="preserve"> </w:t>
      </w:r>
      <w:r w:rsidRPr="003463FD">
        <w:rPr>
          <w:rFonts w:ascii="Book Antiqua" w:hAnsi="Book Antiqua"/>
        </w:rPr>
        <w:lastRenderedPageBreak/>
        <w:t>zv</w:t>
      </w:r>
      <w:r w:rsidRPr="003463FD">
        <w:rPr>
          <w:rFonts w:ascii="Book Antiqua" w:hAnsi="Book Antiqua" w:cs="Book Antiqua"/>
        </w:rPr>
        <w:t>ý</w:t>
      </w:r>
      <w:r w:rsidRPr="003463FD">
        <w:rPr>
          <w:rFonts w:ascii="Book Antiqua" w:hAnsi="Book Antiqua"/>
        </w:rPr>
        <w:t>hodnenie vo v</w:t>
      </w:r>
      <w:r w:rsidRPr="003463FD">
        <w:rPr>
          <w:rFonts w:ascii="Book Antiqua" w:hAnsi="Book Antiqua" w:cs="Book Antiqua"/>
        </w:rPr>
        <w:t>ýš</w:t>
      </w:r>
      <w:r w:rsidRPr="003463FD">
        <w:rPr>
          <w:rFonts w:ascii="Book Antiqua" w:hAnsi="Book Antiqua"/>
        </w:rPr>
        <w:t>ke 15 % je ur</w:t>
      </w:r>
      <w:r w:rsidRPr="003463FD">
        <w:rPr>
          <w:rFonts w:ascii="Book Antiqua" w:hAnsi="Book Antiqua" w:cs="Book Antiqua"/>
        </w:rPr>
        <w:t>č</w:t>
      </w:r>
      <w:r w:rsidRPr="003463FD">
        <w:rPr>
          <w:rFonts w:ascii="Book Antiqua" w:hAnsi="Book Antiqua"/>
        </w:rPr>
        <w:t>en</w:t>
      </w:r>
      <w:r w:rsidRPr="003463FD">
        <w:rPr>
          <w:rFonts w:ascii="Book Antiqua" w:hAnsi="Book Antiqua" w:cs="Book Antiqua"/>
        </w:rPr>
        <w:t>é</w:t>
      </w:r>
      <w:r w:rsidRPr="003463FD">
        <w:rPr>
          <w:rFonts w:ascii="Book Antiqua" w:hAnsi="Book Antiqua"/>
        </w:rPr>
        <w:t xml:space="preserve"> pre dom</w:t>
      </w:r>
      <w:r w:rsidRPr="003463FD">
        <w:rPr>
          <w:rFonts w:ascii="Book Antiqua" w:hAnsi="Book Antiqua" w:cs="Book Antiqua"/>
        </w:rPr>
        <w:t>á</w:t>
      </w:r>
      <w:r w:rsidRPr="003463FD">
        <w:rPr>
          <w:rFonts w:ascii="Book Antiqua" w:hAnsi="Book Antiqua"/>
        </w:rPr>
        <w:t>cnosti v rodinn</w:t>
      </w:r>
      <w:r w:rsidRPr="003463FD">
        <w:rPr>
          <w:rFonts w:ascii="Book Antiqua" w:hAnsi="Book Antiqua" w:cs="Book Antiqua"/>
        </w:rPr>
        <w:t>ý</w:t>
      </w:r>
      <w:r w:rsidRPr="003463FD">
        <w:rPr>
          <w:rFonts w:ascii="Book Antiqua" w:hAnsi="Book Antiqua"/>
        </w:rPr>
        <w:t>ch domoch pri in</w:t>
      </w:r>
      <w:r w:rsidRPr="003463FD">
        <w:rPr>
          <w:rFonts w:ascii="Book Antiqua" w:hAnsi="Book Antiqua" w:cs="Book Antiqua"/>
        </w:rPr>
        <w:t>š</w:t>
      </w:r>
      <w:r w:rsidRPr="003463FD">
        <w:rPr>
          <w:rFonts w:ascii="Book Antiqua" w:hAnsi="Book Antiqua"/>
        </w:rPr>
        <w:t>tal</w:t>
      </w:r>
      <w:r w:rsidRPr="003463FD">
        <w:rPr>
          <w:rFonts w:ascii="Book Antiqua" w:hAnsi="Book Antiqua" w:cs="Book Antiqua"/>
        </w:rPr>
        <w:t>á</w:t>
      </w:r>
      <w:r w:rsidRPr="003463FD">
        <w:rPr>
          <w:rFonts w:ascii="Book Antiqua" w:hAnsi="Book Antiqua"/>
        </w:rPr>
        <w:t>cii bezemisn</w:t>
      </w:r>
      <w:r w:rsidRPr="003463FD">
        <w:rPr>
          <w:rFonts w:ascii="Book Antiqua" w:hAnsi="Book Antiqua" w:cs="Book Antiqua"/>
        </w:rPr>
        <w:t>ý</w:t>
      </w:r>
      <w:r w:rsidRPr="003463FD">
        <w:rPr>
          <w:rFonts w:ascii="Book Antiqua" w:hAnsi="Book Antiqua"/>
        </w:rPr>
        <w:t>ch zariaden</w:t>
      </w:r>
      <w:r w:rsidRPr="003463FD">
        <w:rPr>
          <w:rFonts w:ascii="Book Antiqua" w:hAnsi="Book Antiqua" w:cs="Book Antiqua"/>
        </w:rPr>
        <w:t>í</w:t>
      </w:r>
      <w:r w:rsidRPr="003463FD">
        <w:rPr>
          <w:rFonts w:ascii="Book Antiqua" w:hAnsi="Book Antiqua"/>
        </w:rPr>
        <w:t xml:space="preserve"> v oblastiach riadenia kvality ovzdu</w:t>
      </w:r>
      <w:r w:rsidRPr="003463FD">
        <w:rPr>
          <w:rFonts w:ascii="Book Antiqua" w:hAnsi="Book Antiqua" w:cs="Book Antiqua"/>
        </w:rPr>
        <w:t>š</w:t>
      </w:r>
      <w:r w:rsidRPr="003463FD">
        <w:rPr>
          <w:rFonts w:ascii="Book Antiqua" w:hAnsi="Book Antiqua"/>
        </w:rPr>
        <w:t>ia alebo pri prechode z tuh</w:t>
      </w:r>
      <w:r w:rsidRPr="003463FD">
        <w:rPr>
          <w:rFonts w:ascii="Book Antiqua" w:hAnsi="Book Antiqua" w:cs="Book Antiqua"/>
        </w:rPr>
        <w:t>ý</w:t>
      </w:r>
      <w:r w:rsidRPr="003463FD">
        <w:rPr>
          <w:rFonts w:ascii="Book Antiqua" w:hAnsi="Book Antiqua"/>
        </w:rPr>
        <w:t>ch pal</w:t>
      </w:r>
      <w:r w:rsidRPr="003463FD">
        <w:rPr>
          <w:rFonts w:ascii="Book Antiqua" w:hAnsi="Book Antiqua" w:cs="Book Antiqua"/>
        </w:rPr>
        <w:t>í</w:t>
      </w:r>
      <w:r w:rsidRPr="003463FD">
        <w:rPr>
          <w:rFonts w:ascii="Book Antiqua" w:hAnsi="Book Antiqua"/>
        </w:rPr>
        <w:t>v.</w:t>
      </w:r>
    </w:p>
    <w:p w14:paraId="3AC2455A" w14:textId="66122FF1" w:rsidR="003463FD" w:rsidRPr="003463FD" w:rsidRDefault="003463FD" w:rsidP="00375A89">
      <w:pPr>
        <w:pStyle w:val="Odsekzoznamu"/>
        <w:numPr>
          <w:ilvl w:val="0"/>
          <w:numId w:val="29"/>
        </w:numPr>
        <w:spacing w:after="120"/>
        <w:ind w:left="1701" w:hanging="567"/>
        <w:jc w:val="both"/>
        <w:rPr>
          <w:rFonts w:ascii="Book Antiqua" w:hAnsi="Book Antiqua"/>
        </w:rPr>
      </w:pPr>
      <w:r w:rsidRPr="003463FD">
        <w:rPr>
          <w:rFonts w:ascii="Book Antiqua" w:hAnsi="Book Antiqua"/>
          <w:b/>
          <w:bCs/>
        </w:rPr>
        <w:t xml:space="preserve">Harmonogram spustenia =&gt; </w:t>
      </w:r>
      <w:r w:rsidRPr="003463FD">
        <w:rPr>
          <w:rFonts w:ascii="Book Antiqua" w:hAnsi="Book Antiqua"/>
        </w:rPr>
        <w:t>Nové podmienky boli zverejnené 21. septembra 2026, deň nato nasledoval webinár k zmenám a postupu podávania žiadostí so zverejneným videozáznamom. Následne bude sprístupnený nový elektronický formulár na registráciu a v ďalšej fáze sa spustí rezervácia finančných prostriedkov.</w:t>
      </w:r>
    </w:p>
    <w:p w14:paraId="75E7911E" w14:textId="49EB5819" w:rsidR="003463FD" w:rsidRPr="003463FD" w:rsidRDefault="003463FD" w:rsidP="00375A89">
      <w:pPr>
        <w:pStyle w:val="Odsekzoznamu"/>
        <w:numPr>
          <w:ilvl w:val="0"/>
          <w:numId w:val="29"/>
        </w:numPr>
        <w:spacing w:after="120"/>
        <w:ind w:left="1701" w:hanging="567"/>
        <w:jc w:val="both"/>
        <w:rPr>
          <w:rFonts w:ascii="Book Antiqua" w:hAnsi="Book Antiqua"/>
        </w:rPr>
      </w:pPr>
      <w:r w:rsidRPr="003463FD">
        <w:rPr>
          <w:rFonts w:ascii="Book Antiqua" w:hAnsi="Book Antiqua"/>
          <w:b/>
          <w:bCs/>
        </w:rPr>
        <w:t>Zmeny v projekte Zelená solidarita =&gt;</w:t>
      </w:r>
      <w:r w:rsidRPr="003463FD">
        <w:rPr>
          <w:rFonts w:ascii="Book Antiqua" w:hAnsi="Book Antiqua"/>
        </w:rPr>
        <w:t xml:space="preserve"> V projekte zostáva zachovaný doterajší spôsob zvýhodnenej podpory prostredníctvom poukážok pre nízkopríjmové domácnosti, ktoré môžu získať poukážku pokrývajúcu 90 % oprávnených výdavkov. Aktivácia nových žiadostí je od 15. septembra 2026 dočasne pozastavená, aby mali domácnosti s už aktivovanými žiadosťami priestor rozhodnúť sa, či chcú zotrvať pri súčasných podmienkach; na to musia doručiť súhlas na overenie príjmu najneskôr do 30. septembra 2026, inak sa ich žiadosť posúdi podľa nových podmienok. Administrácia rozpracovaných žiadostí a preplácanie už vydaných poukážok pokračujú bez zmeny. Výška príspevku pri kotloch na biomasu sa v rámci tohto projektu zvyšuje na sadzbu 216 eur/kW výkonu s maximálnym príspevkom 3 240 eur (namiesto 2 700 eur), pri slnečných kolektoroch zostáva na úrovni 3 600 eur, pri fotovoltike sa maximálny podporovaný výkon znižuje z 3 kW, resp. 7 kW, na 2 kW a maximálny príspevok klesá zo 6 300 eur na 1 800 eur.</w:t>
      </w:r>
    </w:p>
    <w:p w14:paraId="1132BED4" w14:textId="77777777" w:rsidR="0046545D" w:rsidRDefault="0046545D" w:rsidP="00770B2E">
      <w:pPr>
        <w:spacing w:after="0"/>
        <w:jc w:val="both"/>
        <w:rPr>
          <w:rFonts w:ascii="Book Antiqua" w:hAnsi="Book Antiqua"/>
        </w:rPr>
      </w:pPr>
    </w:p>
    <w:p w14:paraId="501FD7D2" w14:textId="3D154A89" w:rsidR="0046545D" w:rsidRDefault="0046545D" w:rsidP="0046545D">
      <w:pPr>
        <w:pStyle w:val="Odsekzoznamu"/>
        <w:numPr>
          <w:ilvl w:val="0"/>
          <w:numId w:val="21"/>
        </w:numPr>
        <w:spacing w:after="120"/>
        <w:ind w:left="567" w:hanging="567"/>
        <w:jc w:val="both"/>
        <w:rPr>
          <w:rFonts w:ascii="Book Antiqua" w:hAnsi="Book Antiqua"/>
          <w:b/>
          <w:bCs/>
        </w:rPr>
      </w:pPr>
      <w:r w:rsidRPr="0046545D">
        <w:rPr>
          <w:rFonts w:ascii="Book Antiqua" w:hAnsi="Book Antiqua"/>
          <w:b/>
          <w:bCs/>
        </w:rPr>
        <w:t xml:space="preserve">ÚRSO </w:t>
      </w:r>
      <w:r w:rsidR="00375A89">
        <w:rPr>
          <w:rFonts w:ascii="Book Antiqua" w:hAnsi="Book Antiqua"/>
          <w:b/>
          <w:bCs/>
        </w:rPr>
        <w:t xml:space="preserve">v rámci cenovej regulácie </w:t>
      </w:r>
      <w:r w:rsidRPr="0046545D">
        <w:rPr>
          <w:rFonts w:ascii="Book Antiqua" w:hAnsi="Book Antiqua"/>
          <w:b/>
          <w:bCs/>
        </w:rPr>
        <w:t xml:space="preserve">oznámilo </w:t>
      </w:r>
    </w:p>
    <w:p w14:paraId="0B3D6341" w14:textId="77777777" w:rsidR="0046545D" w:rsidRPr="0046545D" w:rsidRDefault="0046545D" w:rsidP="00ED6C98">
      <w:pPr>
        <w:pStyle w:val="Odsekzoznamu"/>
        <w:numPr>
          <w:ilvl w:val="0"/>
          <w:numId w:val="25"/>
        </w:numPr>
        <w:spacing w:after="120"/>
        <w:ind w:left="1134" w:hanging="567"/>
        <w:jc w:val="both"/>
        <w:rPr>
          <w:rFonts w:ascii="Book Antiqua" w:hAnsi="Book Antiqua"/>
        </w:rPr>
      </w:pPr>
      <w:r w:rsidRPr="0046545D">
        <w:rPr>
          <w:rFonts w:ascii="Book Antiqua" w:hAnsi="Book Antiqua"/>
        </w:rPr>
        <w:t>ÚRSO zverejnilo na svojom webovom sídle formulár na predkladanie informácií o objektoch spotreby tepla, ktorý sú dodávatelia tepla povinní predložiť úradu každoročne do 30. septembra.</w:t>
      </w:r>
    </w:p>
    <w:p w14:paraId="4D15623F" w14:textId="77777777" w:rsidR="0046545D" w:rsidRPr="0046545D" w:rsidRDefault="0046545D" w:rsidP="00ED6C98">
      <w:pPr>
        <w:pStyle w:val="Odsekzoznamu"/>
        <w:numPr>
          <w:ilvl w:val="0"/>
          <w:numId w:val="25"/>
        </w:numPr>
        <w:spacing w:after="120"/>
        <w:ind w:left="1134" w:hanging="567"/>
        <w:jc w:val="both"/>
        <w:rPr>
          <w:rFonts w:ascii="Book Antiqua" w:hAnsi="Book Antiqua"/>
        </w:rPr>
      </w:pPr>
      <w:r w:rsidRPr="0046545D">
        <w:rPr>
          <w:rFonts w:ascii="Book Antiqua" w:hAnsi="Book Antiqua"/>
        </w:rPr>
        <w:t>ÚRSO upozornilo regulované subjekty, že po novele zákona o energetike sú povinné predkladať úradu návrh ceny na nasledujúci rok každoročne, v lehotách ustanovených zákonom o regulácii v sieťových odvetviach.</w:t>
      </w:r>
    </w:p>
    <w:p w14:paraId="626898C7" w14:textId="77777777" w:rsidR="0046545D" w:rsidRDefault="0046545D" w:rsidP="00770B2E">
      <w:pPr>
        <w:spacing w:after="0"/>
        <w:jc w:val="both"/>
        <w:rPr>
          <w:rFonts w:ascii="Book Antiqua" w:hAnsi="Book Antiqua"/>
        </w:rPr>
      </w:pPr>
    </w:p>
    <w:p w14:paraId="475FF639" w14:textId="1F2218F6" w:rsidR="00A20B17" w:rsidRPr="00A20B17" w:rsidRDefault="0089474F" w:rsidP="00A20B17">
      <w:pPr>
        <w:pStyle w:val="Odsekzoznamu"/>
        <w:numPr>
          <w:ilvl w:val="0"/>
          <w:numId w:val="21"/>
        </w:numPr>
        <w:spacing w:after="120"/>
        <w:ind w:left="567" w:hanging="567"/>
        <w:jc w:val="both"/>
        <w:rPr>
          <w:rFonts w:ascii="Book Antiqua" w:hAnsi="Book Antiqua"/>
        </w:rPr>
      </w:pPr>
      <w:r>
        <w:rPr>
          <w:rFonts w:ascii="Book Antiqua" w:hAnsi="Book Antiqua"/>
          <w:b/>
          <w:bCs/>
        </w:rPr>
        <w:t xml:space="preserve">Nové pravidlá greenwashingu: </w:t>
      </w:r>
      <w:r w:rsidRPr="00A20B17">
        <w:rPr>
          <w:rFonts w:ascii="Book Antiqua" w:hAnsi="Book Antiqua"/>
          <w:b/>
          <w:bCs/>
        </w:rPr>
        <w:t xml:space="preserve">ÚRSO </w:t>
      </w:r>
      <w:r w:rsidR="00A20B17" w:rsidRPr="00A20B17">
        <w:rPr>
          <w:rFonts w:ascii="Book Antiqua" w:hAnsi="Book Antiqua"/>
          <w:b/>
          <w:bCs/>
        </w:rPr>
        <w:t>sprísňuje kontrolu zavádzajúcich tvrdení na faktúrach za energie</w:t>
      </w:r>
    </w:p>
    <w:p w14:paraId="5CEB043A" w14:textId="77777777" w:rsidR="0089474F" w:rsidRDefault="00A20B17" w:rsidP="00ED6C98">
      <w:pPr>
        <w:pStyle w:val="Odsekzoznamu"/>
        <w:numPr>
          <w:ilvl w:val="0"/>
          <w:numId w:val="25"/>
        </w:numPr>
        <w:spacing w:after="120"/>
        <w:ind w:left="1134" w:hanging="567"/>
        <w:jc w:val="both"/>
        <w:rPr>
          <w:rFonts w:ascii="Book Antiqua" w:hAnsi="Book Antiqua"/>
        </w:rPr>
      </w:pPr>
      <w:r w:rsidRPr="00A20B17">
        <w:rPr>
          <w:rFonts w:ascii="Book Antiqua" w:hAnsi="Book Antiqua"/>
        </w:rPr>
        <w:t>Ú</w:t>
      </w:r>
      <w:r w:rsidR="0089474F">
        <w:rPr>
          <w:rFonts w:ascii="Book Antiqua" w:hAnsi="Book Antiqua"/>
        </w:rPr>
        <w:t xml:space="preserve">RSO </w:t>
      </w:r>
      <w:r w:rsidRPr="00A20B17">
        <w:rPr>
          <w:rFonts w:ascii="Book Antiqua" w:hAnsi="Book Antiqua"/>
        </w:rPr>
        <w:t xml:space="preserve">preveril podnet upozorňujúci na možné zavádzajúce tvrdenia pri dodávke energií, spojené s používaním výrazov ako „zelená elektrina“, „zelená energia“ alebo „uhlíková stopa“. </w:t>
      </w:r>
    </w:p>
    <w:p w14:paraId="0AA28573" w14:textId="6BB0138D" w:rsidR="00A20B17" w:rsidRPr="00A20B17" w:rsidRDefault="00A20B17" w:rsidP="00ED6C98">
      <w:pPr>
        <w:pStyle w:val="Odsekzoznamu"/>
        <w:numPr>
          <w:ilvl w:val="0"/>
          <w:numId w:val="25"/>
        </w:numPr>
        <w:spacing w:after="120"/>
        <w:ind w:left="1134" w:hanging="567"/>
        <w:jc w:val="both"/>
        <w:rPr>
          <w:rFonts w:ascii="Book Antiqua" w:hAnsi="Book Antiqua"/>
        </w:rPr>
      </w:pPr>
      <w:r w:rsidRPr="00A20B17">
        <w:rPr>
          <w:rFonts w:ascii="Book Antiqua" w:hAnsi="Book Antiqua"/>
        </w:rPr>
        <w:t>Kontrolou dotknutých dodávateľov zatiaľ neboli zistené žiadne porušenia, úrad však v podobných kontrolách plánuje pokračovať.</w:t>
      </w:r>
    </w:p>
    <w:p w14:paraId="61722571" w14:textId="011021DE" w:rsidR="0089474F" w:rsidRDefault="0089474F" w:rsidP="00ED6C98">
      <w:pPr>
        <w:pStyle w:val="Odsekzoznamu"/>
        <w:numPr>
          <w:ilvl w:val="0"/>
          <w:numId w:val="25"/>
        </w:numPr>
        <w:spacing w:after="120"/>
        <w:ind w:left="1134" w:hanging="567"/>
        <w:jc w:val="both"/>
        <w:rPr>
          <w:rFonts w:ascii="Book Antiqua" w:hAnsi="Book Antiqua"/>
        </w:rPr>
      </w:pPr>
      <w:r>
        <w:rPr>
          <w:rFonts w:ascii="Book Antiqua" w:hAnsi="Book Antiqua"/>
        </w:rPr>
        <w:t xml:space="preserve">Zároveň </w:t>
      </w:r>
      <w:r w:rsidR="00A20B17" w:rsidRPr="00A20B17">
        <w:rPr>
          <w:rFonts w:ascii="Book Antiqua" w:hAnsi="Book Antiqua"/>
        </w:rPr>
        <w:t xml:space="preserve"> podľa § 17f ods. 5 zákona č. 251/2012 Z. z. o energetike </w:t>
      </w:r>
      <w:r>
        <w:rPr>
          <w:rFonts w:ascii="Book Antiqua" w:hAnsi="Book Antiqua"/>
        </w:rPr>
        <w:t xml:space="preserve">platí, že faktúra </w:t>
      </w:r>
      <w:r w:rsidR="00A20B17" w:rsidRPr="00A20B17">
        <w:rPr>
          <w:rFonts w:ascii="Book Antiqua" w:hAnsi="Book Antiqua"/>
        </w:rPr>
        <w:t xml:space="preserve">nesmie obsahovať reklamu ani iné údaje, ktoré by mohli spôsobiť nejednoznačnosť alebo neprehľadnosť vyúčtovania. </w:t>
      </w:r>
    </w:p>
    <w:p w14:paraId="65CE2D51" w14:textId="6B8F189C" w:rsidR="00A20B17" w:rsidRPr="00A20B17" w:rsidRDefault="00A20B17" w:rsidP="00ED6C98">
      <w:pPr>
        <w:pStyle w:val="Odsekzoznamu"/>
        <w:numPr>
          <w:ilvl w:val="0"/>
          <w:numId w:val="25"/>
        </w:numPr>
        <w:spacing w:after="120"/>
        <w:ind w:left="1134" w:hanging="567"/>
        <w:jc w:val="both"/>
        <w:rPr>
          <w:rFonts w:ascii="Book Antiqua" w:hAnsi="Book Antiqua"/>
        </w:rPr>
      </w:pPr>
      <w:r w:rsidRPr="00A20B17">
        <w:rPr>
          <w:rFonts w:ascii="Book Antiqua" w:hAnsi="Book Antiqua"/>
        </w:rPr>
        <w:t>Od 27. septembra 2026 vstupujú do platnosti ďalšie, sprísnené pravidlá na ochranu spotrebiteľa v</w:t>
      </w:r>
      <w:r w:rsidR="0089474F">
        <w:rPr>
          <w:rFonts w:ascii="Book Antiqua" w:hAnsi="Book Antiqua"/>
        </w:rPr>
        <w:t> </w:t>
      </w:r>
      <w:r w:rsidRPr="00A20B17">
        <w:rPr>
          <w:rFonts w:ascii="Book Antiqua" w:hAnsi="Book Antiqua"/>
        </w:rPr>
        <w:t>oblasti</w:t>
      </w:r>
      <w:r w:rsidR="0089474F">
        <w:rPr>
          <w:rFonts w:ascii="Book Antiqua" w:hAnsi="Book Antiqua"/>
        </w:rPr>
        <w:t xml:space="preserve"> environmentálnych tvrdení obchodníka voči spotrebiteľom</w:t>
      </w:r>
      <w:r w:rsidRPr="00A20B17">
        <w:rPr>
          <w:rFonts w:ascii="Book Antiqua" w:hAnsi="Book Antiqua"/>
        </w:rPr>
        <w:t>.</w:t>
      </w:r>
    </w:p>
    <w:p w14:paraId="3C6A33BC" w14:textId="77777777" w:rsidR="00A20B17" w:rsidRDefault="00A20B17" w:rsidP="00770B2E">
      <w:pPr>
        <w:spacing w:after="0"/>
        <w:jc w:val="both"/>
        <w:rPr>
          <w:rFonts w:ascii="Book Antiqua" w:hAnsi="Book Antiqua"/>
        </w:rPr>
      </w:pPr>
    </w:p>
    <w:p w14:paraId="462DFFDE" w14:textId="5ED6BEDE" w:rsidR="003463FD" w:rsidRPr="003463FD" w:rsidRDefault="003463FD" w:rsidP="00ED6C98">
      <w:pPr>
        <w:pStyle w:val="Odsekzoznamu"/>
        <w:numPr>
          <w:ilvl w:val="0"/>
          <w:numId w:val="21"/>
        </w:numPr>
        <w:spacing w:after="120"/>
        <w:ind w:left="567" w:hanging="567"/>
        <w:jc w:val="both"/>
        <w:rPr>
          <w:rFonts w:ascii="Book Antiqua" w:hAnsi="Book Antiqua"/>
          <w:b/>
          <w:bCs/>
        </w:rPr>
      </w:pPr>
      <w:r w:rsidRPr="003463FD">
        <w:rPr>
          <w:rFonts w:ascii="Book Antiqua" w:hAnsi="Book Antiqua"/>
          <w:b/>
          <w:bCs/>
        </w:rPr>
        <w:t xml:space="preserve">Zásoby </w:t>
      </w:r>
      <w:r w:rsidR="00ED6C98">
        <w:rPr>
          <w:rFonts w:ascii="Book Antiqua" w:hAnsi="Book Antiqua"/>
          <w:b/>
          <w:bCs/>
        </w:rPr>
        <w:t xml:space="preserve">zemného </w:t>
      </w:r>
      <w:r w:rsidRPr="003463FD">
        <w:rPr>
          <w:rFonts w:ascii="Book Antiqua" w:hAnsi="Book Antiqua"/>
          <w:b/>
          <w:bCs/>
        </w:rPr>
        <w:t>plynu SPP</w:t>
      </w:r>
    </w:p>
    <w:p w14:paraId="5FD72E5A" w14:textId="77777777" w:rsidR="00375A89" w:rsidRDefault="003463FD" w:rsidP="00ED6C98">
      <w:pPr>
        <w:pStyle w:val="Odsekzoznamu"/>
        <w:numPr>
          <w:ilvl w:val="0"/>
          <w:numId w:val="25"/>
        </w:numPr>
        <w:spacing w:after="120"/>
        <w:ind w:left="1134" w:hanging="567"/>
        <w:jc w:val="both"/>
        <w:rPr>
          <w:rFonts w:ascii="Book Antiqua" w:hAnsi="Book Antiqua"/>
        </w:rPr>
      </w:pPr>
      <w:r w:rsidRPr="003463FD">
        <w:rPr>
          <w:rFonts w:ascii="Book Antiqua" w:hAnsi="Book Antiqua"/>
        </w:rPr>
        <w:lastRenderedPageBreak/>
        <w:t xml:space="preserve">Slovenský plynárenský priemysel (SPP) má plyn pre domácnosti na rok 2027 zabezpečený, keďže objemy nakúpil ešte v období priaznivejších cien. </w:t>
      </w:r>
    </w:p>
    <w:p w14:paraId="5A67B23D" w14:textId="2018508F" w:rsidR="003463FD" w:rsidRPr="003463FD" w:rsidRDefault="003463FD" w:rsidP="00ED6C98">
      <w:pPr>
        <w:pStyle w:val="Odsekzoznamu"/>
        <w:numPr>
          <w:ilvl w:val="0"/>
          <w:numId w:val="25"/>
        </w:numPr>
        <w:spacing w:after="120"/>
        <w:ind w:left="1134" w:hanging="567"/>
        <w:jc w:val="both"/>
        <w:rPr>
          <w:rFonts w:ascii="Book Antiqua" w:hAnsi="Book Antiqua"/>
        </w:rPr>
      </w:pPr>
      <w:r w:rsidRPr="003463FD">
        <w:rPr>
          <w:rFonts w:ascii="Book Antiqua" w:hAnsi="Book Antiqua"/>
        </w:rPr>
        <w:t>Súčasné vyššie veľkoobchodné ceny plynu by preto nemali ovplyvniť ceny pre domácnosti v roku 2027, ich prípadné dlhšie pretrvávanie by sa však mohlo premietnuť do nákladov na zabezpečenie dodávok pre rok 2028.</w:t>
      </w:r>
    </w:p>
    <w:p w14:paraId="0CC6C2DC" w14:textId="259C826B" w:rsidR="003463FD" w:rsidRPr="003463FD" w:rsidRDefault="003463FD" w:rsidP="00ED6C98">
      <w:pPr>
        <w:pStyle w:val="Odsekzoznamu"/>
        <w:numPr>
          <w:ilvl w:val="0"/>
          <w:numId w:val="25"/>
        </w:numPr>
        <w:spacing w:after="120"/>
        <w:ind w:left="1134" w:hanging="567"/>
        <w:jc w:val="both"/>
        <w:rPr>
          <w:rFonts w:ascii="Book Antiqua" w:hAnsi="Book Antiqua"/>
        </w:rPr>
      </w:pPr>
      <w:r w:rsidRPr="003463FD">
        <w:rPr>
          <w:rFonts w:ascii="Book Antiqua" w:hAnsi="Book Antiqua"/>
        </w:rPr>
        <w:t>S</w:t>
      </w:r>
      <w:r w:rsidR="00375A89">
        <w:rPr>
          <w:rFonts w:ascii="Book Antiqua" w:hAnsi="Book Antiqua"/>
        </w:rPr>
        <w:t>PP</w:t>
      </w:r>
      <w:r w:rsidRPr="003463FD">
        <w:rPr>
          <w:rFonts w:ascii="Book Antiqua" w:hAnsi="Book Antiqua"/>
        </w:rPr>
        <w:t xml:space="preserve"> sa zároveň pripravuje na obdobie po ukončení dovozu ruského potrubného plynu do Európskej únie a plánuje do budúcna rozložiť nákupy medzi viacero zdrojov a obchodných partnerov, vrátane Alžírska, Azerbajdžanu, LNG a spotových nákupov.</w:t>
      </w:r>
    </w:p>
    <w:p w14:paraId="6A9B89FC" w14:textId="77777777" w:rsidR="003463FD" w:rsidRPr="00770B2E" w:rsidRDefault="003463FD" w:rsidP="003463FD">
      <w:pPr>
        <w:spacing w:after="0"/>
        <w:jc w:val="both"/>
        <w:rPr>
          <w:rFonts w:ascii="Book Antiqua" w:hAnsi="Book Antiqua"/>
        </w:rPr>
      </w:pPr>
    </w:p>
    <w:sectPr w:rsidR="003463FD" w:rsidRPr="00770B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D66"/>
    <w:multiLevelType w:val="hybridMultilevel"/>
    <w:tmpl w:val="7DE0927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3D70153"/>
    <w:multiLevelType w:val="hybridMultilevel"/>
    <w:tmpl w:val="FE3AB97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15:restartNumberingAfterBreak="0">
    <w:nsid w:val="05653656"/>
    <w:multiLevelType w:val="hybridMultilevel"/>
    <w:tmpl w:val="5D60AC8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5CB6D6F"/>
    <w:multiLevelType w:val="hybridMultilevel"/>
    <w:tmpl w:val="15D4D2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3D627F"/>
    <w:multiLevelType w:val="hybridMultilevel"/>
    <w:tmpl w:val="B0A64A78"/>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DA455D"/>
    <w:multiLevelType w:val="hybridMultilevel"/>
    <w:tmpl w:val="6658ACFC"/>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B23A7F"/>
    <w:multiLevelType w:val="hybridMultilevel"/>
    <w:tmpl w:val="D548D2D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9172E07"/>
    <w:multiLevelType w:val="hybridMultilevel"/>
    <w:tmpl w:val="6E80C1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C337628"/>
    <w:multiLevelType w:val="hybridMultilevel"/>
    <w:tmpl w:val="968E706A"/>
    <w:lvl w:ilvl="0" w:tplc="041B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4E47524"/>
    <w:multiLevelType w:val="hybridMultilevel"/>
    <w:tmpl w:val="73ECB7A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5183ED0"/>
    <w:multiLevelType w:val="multilevel"/>
    <w:tmpl w:val="C778E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B6BA6"/>
    <w:multiLevelType w:val="hybridMultilevel"/>
    <w:tmpl w:val="1D4C33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BA05256"/>
    <w:multiLevelType w:val="hybridMultilevel"/>
    <w:tmpl w:val="C88401B6"/>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556BE6"/>
    <w:multiLevelType w:val="hybridMultilevel"/>
    <w:tmpl w:val="5B868A8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4E31501"/>
    <w:multiLevelType w:val="hybridMultilevel"/>
    <w:tmpl w:val="F148E9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9117069"/>
    <w:multiLevelType w:val="hybridMultilevel"/>
    <w:tmpl w:val="606A22C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A603FCE"/>
    <w:multiLevelType w:val="hybridMultilevel"/>
    <w:tmpl w:val="89BA16C4"/>
    <w:lvl w:ilvl="0" w:tplc="2B6AE586">
      <w:start w:val="1"/>
      <w:numFmt w:val="bullet"/>
      <w:lvlText w:val="-"/>
      <w:lvlJc w:val="left"/>
      <w:pPr>
        <w:ind w:left="720" w:hanging="360"/>
      </w:pPr>
      <w:rPr>
        <w:rFonts w:ascii="Book Antiqua" w:eastAsiaTheme="minorHAnsi" w:hAnsi="Book Antiqua"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3E64D9"/>
    <w:multiLevelType w:val="hybridMultilevel"/>
    <w:tmpl w:val="52EC88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968559D"/>
    <w:multiLevelType w:val="hybridMultilevel"/>
    <w:tmpl w:val="783023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E27743E"/>
    <w:multiLevelType w:val="multilevel"/>
    <w:tmpl w:val="6EB69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3C0151"/>
    <w:multiLevelType w:val="hybridMultilevel"/>
    <w:tmpl w:val="A94EAF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6972BA0"/>
    <w:multiLevelType w:val="hybridMultilevel"/>
    <w:tmpl w:val="CC6CCF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D68363A"/>
    <w:multiLevelType w:val="multilevel"/>
    <w:tmpl w:val="2148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CC0069"/>
    <w:multiLevelType w:val="hybridMultilevel"/>
    <w:tmpl w:val="CC5EBF3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1CE5C86"/>
    <w:multiLevelType w:val="hybridMultilevel"/>
    <w:tmpl w:val="B95456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47D66A7"/>
    <w:multiLevelType w:val="hybridMultilevel"/>
    <w:tmpl w:val="BED22F8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73118F5"/>
    <w:multiLevelType w:val="hybridMultilevel"/>
    <w:tmpl w:val="C1F44492"/>
    <w:lvl w:ilvl="0" w:tplc="D7CEB91A">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8833F52"/>
    <w:multiLevelType w:val="hybridMultilevel"/>
    <w:tmpl w:val="F23CAD4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69692233"/>
    <w:multiLevelType w:val="multilevel"/>
    <w:tmpl w:val="5DA8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CD49C6"/>
    <w:multiLevelType w:val="hybridMultilevel"/>
    <w:tmpl w:val="CBC4B68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79BC615C"/>
    <w:multiLevelType w:val="hybridMultilevel"/>
    <w:tmpl w:val="C672A9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9F330D6"/>
    <w:multiLevelType w:val="hybridMultilevel"/>
    <w:tmpl w:val="5F7A25A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7D78456C"/>
    <w:multiLevelType w:val="hybridMultilevel"/>
    <w:tmpl w:val="E0FE32BE"/>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num w:numId="1" w16cid:durableId="391274239">
    <w:abstractNumId w:val="7"/>
  </w:num>
  <w:num w:numId="2" w16cid:durableId="942496133">
    <w:abstractNumId w:val="1"/>
  </w:num>
  <w:num w:numId="3" w16cid:durableId="804007305">
    <w:abstractNumId w:val="16"/>
  </w:num>
  <w:num w:numId="4" w16cid:durableId="1372804516">
    <w:abstractNumId w:val="18"/>
  </w:num>
  <w:num w:numId="5" w16cid:durableId="1905530545">
    <w:abstractNumId w:val="17"/>
  </w:num>
  <w:num w:numId="6" w16cid:durableId="76944065">
    <w:abstractNumId w:val="11"/>
  </w:num>
  <w:num w:numId="7" w16cid:durableId="1949925253">
    <w:abstractNumId w:val="4"/>
  </w:num>
  <w:num w:numId="8" w16cid:durableId="957250746">
    <w:abstractNumId w:val="5"/>
  </w:num>
  <w:num w:numId="9" w16cid:durableId="2126607985">
    <w:abstractNumId w:val="19"/>
  </w:num>
  <w:num w:numId="10" w16cid:durableId="635721415">
    <w:abstractNumId w:val="28"/>
  </w:num>
  <w:num w:numId="11" w16cid:durableId="912424688">
    <w:abstractNumId w:val="22"/>
  </w:num>
  <w:num w:numId="12" w16cid:durableId="1821531589">
    <w:abstractNumId w:val="10"/>
  </w:num>
  <w:num w:numId="13" w16cid:durableId="958726312">
    <w:abstractNumId w:val="20"/>
  </w:num>
  <w:num w:numId="14" w16cid:durableId="2146848802">
    <w:abstractNumId w:val="32"/>
  </w:num>
  <w:num w:numId="15" w16cid:durableId="1682585363">
    <w:abstractNumId w:val="3"/>
  </w:num>
  <w:num w:numId="16" w16cid:durableId="244463752">
    <w:abstractNumId w:val="26"/>
  </w:num>
  <w:num w:numId="17" w16cid:durableId="1809859769">
    <w:abstractNumId w:val="14"/>
  </w:num>
  <w:num w:numId="18" w16cid:durableId="1001465259">
    <w:abstractNumId w:val="15"/>
  </w:num>
  <w:num w:numId="19" w16cid:durableId="1538852727">
    <w:abstractNumId w:val="2"/>
  </w:num>
  <w:num w:numId="20" w16cid:durableId="922182509">
    <w:abstractNumId w:val="9"/>
  </w:num>
  <w:num w:numId="21" w16cid:durableId="975909204">
    <w:abstractNumId w:val="13"/>
  </w:num>
  <w:num w:numId="22" w16cid:durableId="291714300">
    <w:abstractNumId w:val="24"/>
  </w:num>
  <w:num w:numId="23" w16cid:durableId="1077168985">
    <w:abstractNumId w:val="8"/>
  </w:num>
  <w:num w:numId="24" w16cid:durableId="1175264831">
    <w:abstractNumId w:val="0"/>
  </w:num>
  <w:num w:numId="25" w16cid:durableId="2025135021">
    <w:abstractNumId w:val="12"/>
  </w:num>
  <w:num w:numId="26" w16cid:durableId="139738135">
    <w:abstractNumId w:val="29"/>
  </w:num>
  <w:num w:numId="27" w16cid:durableId="1650937466">
    <w:abstractNumId w:val="25"/>
  </w:num>
  <w:num w:numId="28" w16cid:durableId="1095132135">
    <w:abstractNumId w:val="30"/>
  </w:num>
  <w:num w:numId="29" w16cid:durableId="1857648">
    <w:abstractNumId w:val="31"/>
  </w:num>
  <w:num w:numId="30" w16cid:durableId="400564209">
    <w:abstractNumId w:val="6"/>
  </w:num>
  <w:num w:numId="31" w16cid:durableId="959460587">
    <w:abstractNumId w:val="27"/>
  </w:num>
  <w:num w:numId="32" w16cid:durableId="580136794">
    <w:abstractNumId w:val="21"/>
  </w:num>
  <w:num w:numId="33" w16cid:durableId="1202522397">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D6"/>
    <w:rsid w:val="000035AD"/>
    <w:rsid w:val="00010FD6"/>
    <w:rsid w:val="0002147A"/>
    <w:rsid w:val="00056AE2"/>
    <w:rsid w:val="00062BCF"/>
    <w:rsid w:val="000663AC"/>
    <w:rsid w:val="00067BD1"/>
    <w:rsid w:val="0007255C"/>
    <w:rsid w:val="0007342A"/>
    <w:rsid w:val="00080D2E"/>
    <w:rsid w:val="00080DFB"/>
    <w:rsid w:val="00082531"/>
    <w:rsid w:val="00084C89"/>
    <w:rsid w:val="00090F95"/>
    <w:rsid w:val="00092754"/>
    <w:rsid w:val="000A26D6"/>
    <w:rsid w:val="000E222D"/>
    <w:rsid w:val="00103406"/>
    <w:rsid w:val="0010418A"/>
    <w:rsid w:val="00106181"/>
    <w:rsid w:val="00107CC7"/>
    <w:rsid w:val="00107D93"/>
    <w:rsid w:val="00110B6F"/>
    <w:rsid w:val="00111183"/>
    <w:rsid w:val="001145CC"/>
    <w:rsid w:val="00117174"/>
    <w:rsid w:val="00121F27"/>
    <w:rsid w:val="00136440"/>
    <w:rsid w:val="0014010C"/>
    <w:rsid w:val="0014143C"/>
    <w:rsid w:val="00156813"/>
    <w:rsid w:val="001730E6"/>
    <w:rsid w:val="00174BDC"/>
    <w:rsid w:val="00180603"/>
    <w:rsid w:val="00191D23"/>
    <w:rsid w:val="00191DDF"/>
    <w:rsid w:val="00192367"/>
    <w:rsid w:val="0019243F"/>
    <w:rsid w:val="001A49CA"/>
    <w:rsid w:val="001B1A2A"/>
    <w:rsid w:val="001B3DAE"/>
    <w:rsid w:val="001B5CF4"/>
    <w:rsid w:val="001B626E"/>
    <w:rsid w:val="001B7D37"/>
    <w:rsid w:val="001F613F"/>
    <w:rsid w:val="00200632"/>
    <w:rsid w:val="0020333C"/>
    <w:rsid w:val="00214D01"/>
    <w:rsid w:val="002158E2"/>
    <w:rsid w:val="00234AE4"/>
    <w:rsid w:val="00236FFB"/>
    <w:rsid w:val="002438A4"/>
    <w:rsid w:val="00257FDD"/>
    <w:rsid w:val="00266121"/>
    <w:rsid w:val="0026692C"/>
    <w:rsid w:val="00271782"/>
    <w:rsid w:val="00285BC8"/>
    <w:rsid w:val="002878A1"/>
    <w:rsid w:val="00291A1E"/>
    <w:rsid w:val="00291FA9"/>
    <w:rsid w:val="00297932"/>
    <w:rsid w:val="002A2335"/>
    <w:rsid w:val="002B1465"/>
    <w:rsid w:val="002B4F22"/>
    <w:rsid w:val="002B5401"/>
    <w:rsid w:val="002C57EB"/>
    <w:rsid w:val="002C6185"/>
    <w:rsid w:val="002C670D"/>
    <w:rsid w:val="002D47EE"/>
    <w:rsid w:val="002D6B62"/>
    <w:rsid w:val="002E19F9"/>
    <w:rsid w:val="002E7878"/>
    <w:rsid w:val="002E7B6B"/>
    <w:rsid w:val="002F03D8"/>
    <w:rsid w:val="002F08EF"/>
    <w:rsid w:val="002F5F5C"/>
    <w:rsid w:val="00315F9A"/>
    <w:rsid w:val="00326EAB"/>
    <w:rsid w:val="003423C0"/>
    <w:rsid w:val="003463FD"/>
    <w:rsid w:val="00350114"/>
    <w:rsid w:val="003528F4"/>
    <w:rsid w:val="00354F60"/>
    <w:rsid w:val="0036150C"/>
    <w:rsid w:val="00363019"/>
    <w:rsid w:val="00375A89"/>
    <w:rsid w:val="00381EF9"/>
    <w:rsid w:val="00391D97"/>
    <w:rsid w:val="003B4B81"/>
    <w:rsid w:val="003C37D9"/>
    <w:rsid w:val="003C546C"/>
    <w:rsid w:val="003C600D"/>
    <w:rsid w:val="003C73CE"/>
    <w:rsid w:val="003D0F35"/>
    <w:rsid w:val="003D2D49"/>
    <w:rsid w:val="003F69CC"/>
    <w:rsid w:val="00412ABD"/>
    <w:rsid w:val="00415D84"/>
    <w:rsid w:val="00433FEA"/>
    <w:rsid w:val="00437B32"/>
    <w:rsid w:val="00453D26"/>
    <w:rsid w:val="0046545D"/>
    <w:rsid w:val="00470761"/>
    <w:rsid w:val="00472694"/>
    <w:rsid w:val="004737FF"/>
    <w:rsid w:val="00482B3A"/>
    <w:rsid w:val="00483FA3"/>
    <w:rsid w:val="004A2E74"/>
    <w:rsid w:val="004A372F"/>
    <w:rsid w:val="004A6C14"/>
    <w:rsid w:val="004B3777"/>
    <w:rsid w:val="004B4B88"/>
    <w:rsid w:val="004B4D57"/>
    <w:rsid w:val="004C0798"/>
    <w:rsid w:val="004C45B4"/>
    <w:rsid w:val="004C535B"/>
    <w:rsid w:val="004D7D90"/>
    <w:rsid w:val="004E147C"/>
    <w:rsid w:val="004E2D15"/>
    <w:rsid w:val="004F145C"/>
    <w:rsid w:val="004F29E6"/>
    <w:rsid w:val="00510A4C"/>
    <w:rsid w:val="00511B3A"/>
    <w:rsid w:val="005277D2"/>
    <w:rsid w:val="005468E5"/>
    <w:rsid w:val="00551AD1"/>
    <w:rsid w:val="005530BB"/>
    <w:rsid w:val="005579DE"/>
    <w:rsid w:val="00560170"/>
    <w:rsid w:val="00561925"/>
    <w:rsid w:val="00561C03"/>
    <w:rsid w:val="00564120"/>
    <w:rsid w:val="00567950"/>
    <w:rsid w:val="005742F6"/>
    <w:rsid w:val="00584C35"/>
    <w:rsid w:val="005858AD"/>
    <w:rsid w:val="005A2D63"/>
    <w:rsid w:val="005B26B3"/>
    <w:rsid w:val="005B4454"/>
    <w:rsid w:val="005B4637"/>
    <w:rsid w:val="005C1773"/>
    <w:rsid w:val="005C353C"/>
    <w:rsid w:val="005D15E9"/>
    <w:rsid w:val="005D77DB"/>
    <w:rsid w:val="005D7B93"/>
    <w:rsid w:val="005E481F"/>
    <w:rsid w:val="00601095"/>
    <w:rsid w:val="00621FC3"/>
    <w:rsid w:val="00642460"/>
    <w:rsid w:val="00642DBA"/>
    <w:rsid w:val="00650CA2"/>
    <w:rsid w:val="006639B2"/>
    <w:rsid w:val="00666429"/>
    <w:rsid w:val="0068706C"/>
    <w:rsid w:val="0068787C"/>
    <w:rsid w:val="00692353"/>
    <w:rsid w:val="00693F88"/>
    <w:rsid w:val="00694449"/>
    <w:rsid w:val="006962BF"/>
    <w:rsid w:val="006A210B"/>
    <w:rsid w:val="006A4116"/>
    <w:rsid w:val="006A4DA2"/>
    <w:rsid w:val="006A6C9D"/>
    <w:rsid w:val="006A6D34"/>
    <w:rsid w:val="006C073F"/>
    <w:rsid w:val="006D12B9"/>
    <w:rsid w:val="006D6D79"/>
    <w:rsid w:val="006E2EEA"/>
    <w:rsid w:val="006F704E"/>
    <w:rsid w:val="00721C95"/>
    <w:rsid w:val="00722F22"/>
    <w:rsid w:val="00751CBE"/>
    <w:rsid w:val="00757B9D"/>
    <w:rsid w:val="00760A09"/>
    <w:rsid w:val="0076186F"/>
    <w:rsid w:val="00770B2E"/>
    <w:rsid w:val="007727DD"/>
    <w:rsid w:val="00780CBC"/>
    <w:rsid w:val="00785133"/>
    <w:rsid w:val="00792976"/>
    <w:rsid w:val="007A3E45"/>
    <w:rsid w:val="007A3E69"/>
    <w:rsid w:val="007B0B25"/>
    <w:rsid w:val="007C14E4"/>
    <w:rsid w:val="007D29D7"/>
    <w:rsid w:val="007D3902"/>
    <w:rsid w:val="007D6ECF"/>
    <w:rsid w:val="007E0060"/>
    <w:rsid w:val="007F454C"/>
    <w:rsid w:val="007F4D51"/>
    <w:rsid w:val="007F50FB"/>
    <w:rsid w:val="00814E0D"/>
    <w:rsid w:val="008402C0"/>
    <w:rsid w:val="008439A0"/>
    <w:rsid w:val="00846017"/>
    <w:rsid w:val="0085772E"/>
    <w:rsid w:val="00866BD3"/>
    <w:rsid w:val="008679C8"/>
    <w:rsid w:val="008705D2"/>
    <w:rsid w:val="00884855"/>
    <w:rsid w:val="0089474F"/>
    <w:rsid w:val="00895780"/>
    <w:rsid w:val="008A014E"/>
    <w:rsid w:val="008A4538"/>
    <w:rsid w:val="008A5A39"/>
    <w:rsid w:val="008B0B58"/>
    <w:rsid w:val="008B5C2C"/>
    <w:rsid w:val="008B64AC"/>
    <w:rsid w:val="008C3CF7"/>
    <w:rsid w:val="008C6ECF"/>
    <w:rsid w:val="008D4117"/>
    <w:rsid w:val="008D5358"/>
    <w:rsid w:val="008D5614"/>
    <w:rsid w:val="008F72B6"/>
    <w:rsid w:val="00904122"/>
    <w:rsid w:val="00914F66"/>
    <w:rsid w:val="00923F36"/>
    <w:rsid w:val="00925FAC"/>
    <w:rsid w:val="00926137"/>
    <w:rsid w:val="00926531"/>
    <w:rsid w:val="00930279"/>
    <w:rsid w:val="00930BC7"/>
    <w:rsid w:val="009432B1"/>
    <w:rsid w:val="00945331"/>
    <w:rsid w:val="00951897"/>
    <w:rsid w:val="00961705"/>
    <w:rsid w:val="009644B4"/>
    <w:rsid w:val="009A1780"/>
    <w:rsid w:val="009A3723"/>
    <w:rsid w:val="009A746C"/>
    <w:rsid w:val="009B6196"/>
    <w:rsid w:val="009B68B5"/>
    <w:rsid w:val="009C1FF3"/>
    <w:rsid w:val="009C5C5A"/>
    <w:rsid w:val="009C61CC"/>
    <w:rsid w:val="009F0D51"/>
    <w:rsid w:val="00A03E00"/>
    <w:rsid w:val="00A058B5"/>
    <w:rsid w:val="00A11780"/>
    <w:rsid w:val="00A20B17"/>
    <w:rsid w:val="00A23931"/>
    <w:rsid w:val="00A352CF"/>
    <w:rsid w:val="00A35E01"/>
    <w:rsid w:val="00A4309B"/>
    <w:rsid w:val="00A46331"/>
    <w:rsid w:val="00A600AC"/>
    <w:rsid w:val="00A61745"/>
    <w:rsid w:val="00A62347"/>
    <w:rsid w:val="00A62D5D"/>
    <w:rsid w:val="00A6443A"/>
    <w:rsid w:val="00A71E4D"/>
    <w:rsid w:val="00A85F1A"/>
    <w:rsid w:val="00A87E0B"/>
    <w:rsid w:val="00AA23F0"/>
    <w:rsid w:val="00AA2CC1"/>
    <w:rsid w:val="00AA4998"/>
    <w:rsid w:val="00AB3AD6"/>
    <w:rsid w:val="00AF51DB"/>
    <w:rsid w:val="00B06416"/>
    <w:rsid w:val="00B06DBF"/>
    <w:rsid w:val="00B1403F"/>
    <w:rsid w:val="00B20554"/>
    <w:rsid w:val="00B232B2"/>
    <w:rsid w:val="00B240D1"/>
    <w:rsid w:val="00B3532C"/>
    <w:rsid w:val="00B5016B"/>
    <w:rsid w:val="00B519F0"/>
    <w:rsid w:val="00B53984"/>
    <w:rsid w:val="00B60096"/>
    <w:rsid w:val="00B613C0"/>
    <w:rsid w:val="00B71924"/>
    <w:rsid w:val="00B7602A"/>
    <w:rsid w:val="00B905A4"/>
    <w:rsid w:val="00B9291A"/>
    <w:rsid w:val="00B95B43"/>
    <w:rsid w:val="00B971CC"/>
    <w:rsid w:val="00B97EEF"/>
    <w:rsid w:val="00BB463B"/>
    <w:rsid w:val="00BB64AC"/>
    <w:rsid w:val="00BC127D"/>
    <w:rsid w:val="00BC5D97"/>
    <w:rsid w:val="00BC75E8"/>
    <w:rsid w:val="00BD0B3D"/>
    <w:rsid w:val="00BD26EB"/>
    <w:rsid w:val="00BD4E75"/>
    <w:rsid w:val="00BD55A9"/>
    <w:rsid w:val="00BD651B"/>
    <w:rsid w:val="00BE03C2"/>
    <w:rsid w:val="00C10002"/>
    <w:rsid w:val="00C14E3B"/>
    <w:rsid w:val="00C24401"/>
    <w:rsid w:val="00C26789"/>
    <w:rsid w:val="00C27050"/>
    <w:rsid w:val="00C27B62"/>
    <w:rsid w:val="00C30164"/>
    <w:rsid w:val="00C3228A"/>
    <w:rsid w:val="00C33B0E"/>
    <w:rsid w:val="00C34C58"/>
    <w:rsid w:val="00C41932"/>
    <w:rsid w:val="00C47747"/>
    <w:rsid w:val="00C5026E"/>
    <w:rsid w:val="00C64FE9"/>
    <w:rsid w:val="00C65165"/>
    <w:rsid w:val="00C6763C"/>
    <w:rsid w:val="00C749CE"/>
    <w:rsid w:val="00C75A83"/>
    <w:rsid w:val="00C834F1"/>
    <w:rsid w:val="00C97E08"/>
    <w:rsid w:val="00CA25C2"/>
    <w:rsid w:val="00CA4636"/>
    <w:rsid w:val="00CB3774"/>
    <w:rsid w:val="00CB765A"/>
    <w:rsid w:val="00CC24CD"/>
    <w:rsid w:val="00CC2676"/>
    <w:rsid w:val="00CC3CB7"/>
    <w:rsid w:val="00CD5414"/>
    <w:rsid w:val="00CD632E"/>
    <w:rsid w:val="00CD7E3A"/>
    <w:rsid w:val="00CF2B8D"/>
    <w:rsid w:val="00CF799E"/>
    <w:rsid w:val="00D0318B"/>
    <w:rsid w:val="00D1012E"/>
    <w:rsid w:val="00D163DC"/>
    <w:rsid w:val="00D24ABA"/>
    <w:rsid w:val="00D26B3A"/>
    <w:rsid w:val="00D36C54"/>
    <w:rsid w:val="00D40A29"/>
    <w:rsid w:val="00D40A9D"/>
    <w:rsid w:val="00D42627"/>
    <w:rsid w:val="00D42AB7"/>
    <w:rsid w:val="00D5382C"/>
    <w:rsid w:val="00D55897"/>
    <w:rsid w:val="00D65125"/>
    <w:rsid w:val="00D65311"/>
    <w:rsid w:val="00D86D4D"/>
    <w:rsid w:val="00D96AF9"/>
    <w:rsid w:val="00DA19AB"/>
    <w:rsid w:val="00DA4D33"/>
    <w:rsid w:val="00DA6E76"/>
    <w:rsid w:val="00DA7156"/>
    <w:rsid w:val="00DB22FE"/>
    <w:rsid w:val="00DB4838"/>
    <w:rsid w:val="00DC0BD1"/>
    <w:rsid w:val="00DE3BC5"/>
    <w:rsid w:val="00DF772D"/>
    <w:rsid w:val="00E035DD"/>
    <w:rsid w:val="00E03AE6"/>
    <w:rsid w:val="00E0678F"/>
    <w:rsid w:val="00E14049"/>
    <w:rsid w:val="00E141FC"/>
    <w:rsid w:val="00E23E84"/>
    <w:rsid w:val="00E24E95"/>
    <w:rsid w:val="00E560ED"/>
    <w:rsid w:val="00E56CCE"/>
    <w:rsid w:val="00E74158"/>
    <w:rsid w:val="00E97AE2"/>
    <w:rsid w:val="00EA54F6"/>
    <w:rsid w:val="00EB5C18"/>
    <w:rsid w:val="00EC0403"/>
    <w:rsid w:val="00EC7660"/>
    <w:rsid w:val="00EC7AEE"/>
    <w:rsid w:val="00ED31FE"/>
    <w:rsid w:val="00ED48FC"/>
    <w:rsid w:val="00ED6C98"/>
    <w:rsid w:val="00EE1B0D"/>
    <w:rsid w:val="00EE1B99"/>
    <w:rsid w:val="00EE1CCD"/>
    <w:rsid w:val="00EE245B"/>
    <w:rsid w:val="00EF0440"/>
    <w:rsid w:val="00EF757B"/>
    <w:rsid w:val="00F0089D"/>
    <w:rsid w:val="00F068BA"/>
    <w:rsid w:val="00F1768C"/>
    <w:rsid w:val="00F20D90"/>
    <w:rsid w:val="00F35558"/>
    <w:rsid w:val="00F42BAD"/>
    <w:rsid w:val="00F45C44"/>
    <w:rsid w:val="00F5676C"/>
    <w:rsid w:val="00F6248B"/>
    <w:rsid w:val="00F62A2C"/>
    <w:rsid w:val="00F66111"/>
    <w:rsid w:val="00F76818"/>
    <w:rsid w:val="00F836BB"/>
    <w:rsid w:val="00F837B3"/>
    <w:rsid w:val="00FB0AAC"/>
    <w:rsid w:val="00FB15FA"/>
    <w:rsid w:val="00FB3989"/>
    <w:rsid w:val="00FC043E"/>
    <w:rsid w:val="00FC3A01"/>
    <w:rsid w:val="00FC4163"/>
    <w:rsid w:val="00FC6B00"/>
    <w:rsid w:val="00FE11B2"/>
    <w:rsid w:val="00FE3F46"/>
    <w:rsid w:val="00FE5A6D"/>
    <w:rsid w:val="00FF174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A011C"/>
  <w15:chartTrackingRefBased/>
  <w15:docId w15:val="{7C0387B8-B4C2-43FA-BF3F-AF8118B25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B5C18"/>
  </w:style>
  <w:style w:type="paragraph" w:styleId="Nadpis1">
    <w:name w:val="heading 1"/>
    <w:basedOn w:val="Normlny"/>
    <w:next w:val="Normlny"/>
    <w:link w:val="Nadpis1Char"/>
    <w:uiPriority w:val="9"/>
    <w:qFormat/>
    <w:rsid w:val="001B5C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link w:val="Nadpis2Char"/>
    <w:uiPriority w:val="9"/>
    <w:qFormat/>
    <w:rsid w:val="001730E6"/>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sk-SK"/>
      <w14:ligatures w14:val="none"/>
    </w:rPr>
  </w:style>
  <w:style w:type="paragraph" w:styleId="Nadpis3">
    <w:name w:val="heading 3"/>
    <w:basedOn w:val="Normlny"/>
    <w:next w:val="Normlny"/>
    <w:link w:val="Nadpis3Char"/>
    <w:uiPriority w:val="9"/>
    <w:semiHidden/>
    <w:unhideWhenUsed/>
    <w:qFormat/>
    <w:rsid w:val="001B5C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EB5C18"/>
    <w:pPr>
      <w:autoSpaceDE w:val="0"/>
      <w:autoSpaceDN w:val="0"/>
      <w:adjustRightInd w:val="0"/>
      <w:spacing w:after="0" w:line="240" w:lineRule="auto"/>
    </w:pPr>
    <w:rPr>
      <w:rFonts w:ascii="Book Antiqua" w:hAnsi="Book Antiqua" w:cs="Book Antiqua"/>
      <w:color w:val="000000"/>
      <w:kern w:val="0"/>
      <w:sz w:val="24"/>
      <w:szCs w:val="24"/>
      <w14:ligatures w14:val="none"/>
    </w:rPr>
  </w:style>
  <w:style w:type="paragraph" w:styleId="Odsekzoznamu">
    <w:name w:val="List Paragraph"/>
    <w:basedOn w:val="Normlny"/>
    <w:uiPriority w:val="34"/>
    <w:qFormat/>
    <w:rsid w:val="00D0318B"/>
    <w:pPr>
      <w:ind w:left="720"/>
      <w:contextualSpacing/>
    </w:pPr>
  </w:style>
  <w:style w:type="paragraph" w:styleId="Revzia">
    <w:name w:val="Revision"/>
    <w:hidden/>
    <w:uiPriority w:val="99"/>
    <w:semiHidden/>
    <w:rsid w:val="00760A09"/>
    <w:pPr>
      <w:spacing w:after="0" w:line="240" w:lineRule="auto"/>
    </w:pPr>
  </w:style>
  <w:style w:type="character" w:styleId="Odkaznakomentr">
    <w:name w:val="annotation reference"/>
    <w:basedOn w:val="Predvolenpsmoodseku"/>
    <w:uiPriority w:val="99"/>
    <w:semiHidden/>
    <w:unhideWhenUsed/>
    <w:rsid w:val="002B4F22"/>
    <w:rPr>
      <w:sz w:val="16"/>
      <w:szCs w:val="16"/>
    </w:rPr>
  </w:style>
  <w:style w:type="paragraph" w:styleId="Textkomentra">
    <w:name w:val="annotation text"/>
    <w:basedOn w:val="Normlny"/>
    <w:link w:val="TextkomentraChar"/>
    <w:uiPriority w:val="99"/>
    <w:unhideWhenUsed/>
    <w:rsid w:val="002B4F22"/>
    <w:pPr>
      <w:spacing w:line="240" w:lineRule="auto"/>
    </w:pPr>
    <w:rPr>
      <w:sz w:val="20"/>
      <w:szCs w:val="20"/>
    </w:rPr>
  </w:style>
  <w:style w:type="character" w:customStyle="1" w:styleId="TextkomentraChar">
    <w:name w:val="Text komentára Char"/>
    <w:basedOn w:val="Predvolenpsmoodseku"/>
    <w:link w:val="Textkomentra"/>
    <w:uiPriority w:val="99"/>
    <w:rsid w:val="002B4F22"/>
    <w:rPr>
      <w:sz w:val="20"/>
      <w:szCs w:val="20"/>
    </w:rPr>
  </w:style>
  <w:style w:type="paragraph" w:styleId="Predmetkomentra">
    <w:name w:val="annotation subject"/>
    <w:basedOn w:val="Textkomentra"/>
    <w:next w:val="Textkomentra"/>
    <w:link w:val="PredmetkomentraChar"/>
    <w:uiPriority w:val="99"/>
    <w:semiHidden/>
    <w:unhideWhenUsed/>
    <w:rsid w:val="002B4F22"/>
    <w:rPr>
      <w:b/>
      <w:bCs/>
    </w:rPr>
  </w:style>
  <w:style w:type="character" w:customStyle="1" w:styleId="PredmetkomentraChar">
    <w:name w:val="Predmet komentára Char"/>
    <w:basedOn w:val="TextkomentraChar"/>
    <w:link w:val="Predmetkomentra"/>
    <w:uiPriority w:val="99"/>
    <w:semiHidden/>
    <w:rsid w:val="002B4F22"/>
    <w:rPr>
      <w:b/>
      <w:bCs/>
      <w:sz w:val="20"/>
      <w:szCs w:val="20"/>
    </w:rPr>
  </w:style>
  <w:style w:type="character" w:styleId="Hypertextovprepojenie">
    <w:name w:val="Hyperlink"/>
    <w:basedOn w:val="Predvolenpsmoodseku"/>
    <w:uiPriority w:val="99"/>
    <w:unhideWhenUsed/>
    <w:rsid w:val="00D65125"/>
    <w:rPr>
      <w:color w:val="0563C1" w:themeColor="hyperlink"/>
      <w:u w:val="single"/>
    </w:rPr>
  </w:style>
  <w:style w:type="character" w:styleId="Nevyrieenzmienka">
    <w:name w:val="Unresolved Mention"/>
    <w:basedOn w:val="Predvolenpsmoodseku"/>
    <w:uiPriority w:val="99"/>
    <w:semiHidden/>
    <w:unhideWhenUsed/>
    <w:rsid w:val="00D65125"/>
    <w:rPr>
      <w:color w:val="605E5C"/>
      <w:shd w:val="clear" w:color="auto" w:fill="E1DFDD"/>
    </w:rPr>
  </w:style>
  <w:style w:type="paragraph" w:styleId="Normlnywebov">
    <w:name w:val="Normal (Web)"/>
    <w:basedOn w:val="Normlny"/>
    <w:uiPriority w:val="99"/>
    <w:unhideWhenUsed/>
    <w:rsid w:val="004C45B4"/>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character" w:styleId="PouitHypertextovPrepojenie">
    <w:name w:val="FollowedHyperlink"/>
    <w:basedOn w:val="Predvolenpsmoodseku"/>
    <w:uiPriority w:val="99"/>
    <w:semiHidden/>
    <w:unhideWhenUsed/>
    <w:rsid w:val="00CC2676"/>
    <w:rPr>
      <w:color w:val="954F72" w:themeColor="followedHyperlink"/>
      <w:u w:val="single"/>
    </w:rPr>
  </w:style>
  <w:style w:type="character" w:customStyle="1" w:styleId="Nadpis2Char">
    <w:name w:val="Nadpis 2 Char"/>
    <w:basedOn w:val="Predvolenpsmoodseku"/>
    <w:link w:val="Nadpis2"/>
    <w:uiPriority w:val="9"/>
    <w:rsid w:val="001730E6"/>
    <w:rPr>
      <w:rFonts w:ascii="Times New Roman" w:eastAsia="Times New Roman" w:hAnsi="Times New Roman" w:cs="Times New Roman"/>
      <w:b/>
      <w:bCs/>
      <w:kern w:val="0"/>
      <w:sz w:val="36"/>
      <w:szCs w:val="36"/>
      <w:lang w:eastAsia="sk-SK"/>
      <w14:ligatures w14:val="none"/>
    </w:rPr>
  </w:style>
  <w:style w:type="character" w:customStyle="1" w:styleId="citation-60">
    <w:name w:val="citation-60"/>
    <w:basedOn w:val="Predvolenpsmoodseku"/>
    <w:rsid w:val="00C34C58"/>
  </w:style>
  <w:style w:type="character" w:customStyle="1" w:styleId="citation-59">
    <w:name w:val="citation-59"/>
    <w:basedOn w:val="Predvolenpsmoodseku"/>
    <w:rsid w:val="00C34C58"/>
  </w:style>
  <w:style w:type="character" w:customStyle="1" w:styleId="citation-58">
    <w:name w:val="citation-58"/>
    <w:basedOn w:val="Predvolenpsmoodseku"/>
    <w:rsid w:val="00C34C58"/>
  </w:style>
  <w:style w:type="character" w:customStyle="1" w:styleId="citation-57">
    <w:name w:val="citation-57"/>
    <w:basedOn w:val="Predvolenpsmoodseku"/>
    <w:rsid w:val="00C34C58"/>
  </w:style>
  <w:style w:type="character" w:customStyle="1" w:styleId="citation-56">
    <w:name w:val="citation-56"/>
    <w:basedOn w:val="Predvolenpsmoodseku"/>
    <w:rsid w:val="00C34C58"/>
  </w:style>
  <w:style w:type="character" w:customStyle="1" w:styleId="citation-55">
    <w:name w:val="citation-55"/>
    <w:basedOn w:val="Predvolenpsmoodseku"/>
    <w:rsid w:val="00C34C58"/>
  </w:style>
  <w:style w:type="character" w:customStyle="1" w:styleId="citation-54">
    <w:name w:val="citation-54"/>
    <w:basedOn w:val="Predvolenpsmoodseku"/>
    <w:rsid w:val="00C34C58"/>
  </w:style>
  <w:style w:type="character" w:customStyle="1" w:styleId="citation-53">
    <w:name w:val="citation-53"/>
    <w:basedOn w:val="Predvolenpsmoodseku"/>
    <w:rsid w:val="00C34C58"/>
  </w:style>
  <w:style w:type="character" w:customStyle="1" w:styleId="Nadpis3Char">
    <w:name w:val="Nadpis 3 Char"/>
    <w:basedOn w:val="Predvolenpsmoodseku"/>
    <w:link w:val="Nadpis3"/>
    <w:uiPriority w:val="9"/>
    <w:semiHidden/>
    <w:rsid w:val="001B5CF4"/>
    <w:rPr>
      <w:rFonts w:asciiTheme="majorHAnsi" w:eastAsiaTheme="majorEastAsia" w:hAnsiTheme="majorHAnsi" w:cstheme="majorBidi"/>
      <w:color w:val="1F3763" w:themeColor="accent1" w:themeShade="7F"/>
      <w:sz w:val="24"/>
      <w:szCs w:val="24"/>
    </w:rPr>
  </w:style>
  <w:style w:type="character" w:customStyle="1" w:styleId="Nadpis1Char">
    <w:name w:val="Nadpis 1 Char"/>
    <w:basedOn w:val="Predvolenpsmoodseku"/>
    <w:link w:val="Nadpis1"/>
    <w:uiPriority w:val="9"/>
    <w:rsid w:val="001B5CF4"/>
    <w:rPr>
      <w:rFonts w:asciiTheme="majorHAnsi" w:eastAsiaTheme="majorEastAsia" w:hAnsiTheme="majorHAnsi" w:cstheme="majorBidi"/>
      <w:color w:val="2F5496" w:themeColor="accent1" w:themeShade="BF"/>
      <w:sz w:val="32"/>
      <w:szCs w:val="32"/>
    </w:rPr>
  </w:style>
  <w:style w:type="character" w:customStyle="1" w:styleId="citation-93">
    <w:name w:val="citation-93"/>
    <w:basedOn w:val="Predvolenpsmoodseku"/>
    <w:rsid w:val="00722F22"/>
  </w:style>
  <w:style w:type="character" w:customStyle="1" w:styleId="citation-92">
    <w:name w:val="citation-92"/>
    <w:basedOn w:val="Predvolenpsmoodseku"/>
    <w:rsid w:val="00722F22"/>
  </w:style>
  <w:style w:type="character" w:customStyle="1" w:styleId="citation-91">
    <w:name w:val="citation-91"/>
    <w:basedOn w:val="Predvolenpsmoodseku"/>
    <w:rsid w:val="00722F22"/>
  </w:style>
  <w:style w:type="character" w:customStyle="1" w:styleId="citation-90">
    <w:name w:val="citation-90"/>
    <w:basedOn w:val="Predvolenpsmoodseku"/>
    <w:rsid w:val="00722F22"/>
  </w:style>
  <w:style w:type="character" w:customStyle="1" w:styleId="citation-89">
    <w:name w:val="citation-89"/>
    <w:basedOn w:val="Predvolenpsmoodseku"/>
    <w:rsid w:val="00722F22"/>
  </w:style>
  <w:style w:type="character" w:customStyle="1" w:styleId="citation-88">
    <w:name w:val="citation-88"/>
    <w:basedOn w:val="Predvolenpsmoodseku"/>
    <w:rsid w:val="00722F22"/>
  </w:style>
  <w:style w:type="character" w:customStyle="1" w:styleId="citation-87">
    <w:name w:val="citation-87"/>
    <w:basedOn w:val="Predvolenpsmoodseku"/>
    <w:rsid w:val="00722F22"/>
  </w:style>
  <w:style w:type="character" w:customStyle="1" w:styleId="citation-86">
    <w:name w:val="citation-86"/>
    <w:basedOn w:val="Predvolenpsmoodseku"/>
    <w:rsid w:val="00722F22"/>
  </w:style>
  <w:style w:type="character" w:customStyle="1" w:styleId="citation-85">
    <w:name w:val="citation-85"/>
    <w:basedOn w:val="Predvolenpsmoodseku"/>
    <w:rsid w:val="00722F22"/>
  </w:style>
  <w:style w:type="character" w:customStyle="1" w:styleId="citation-84">
    <w:name w:val="citation-84"/>
    <w:basedOn w:val="Predvolenpsmoodseku"/>
    <w:rsid w:val="00722F22"/>
  </w:style>
  <w:style w:type="character" w:customStyle="1" w:styleId="citation-83">
    <w:name w:val="citation-83"/>
    <w:basedOn w:val="Predvolenpsmoodseku"/>
    <w:rsid w:val="00722F22"/>
  </w:style>
  <w:style w:type="character" w:customStyle="1" w:styleId="citation-82">
    <w:name w:val="citation-82"/>
    <w:basedOn w:val="Predvolenpsmoodseku"/>
    <w:rsid w:val="00722F22"/>
  </w:style>
  <w:style w:type="character" w:customStyle="1" w:styleId="citation-81">
    <w:name w:val="citation-81"/>
    <w:basedOn w:val="Predvolenpsmoodseku"/>
    <w:rsid w:val="00722F22"/>
  </w:style>
  <w:style w:type="character" w:customStyle="1" w:styleId="citation-80">
    <w:name w:val="citation-80"/>
    <w:basedOn w:val="Predvolenpsmoodseku"/>
    <w:rsid w:val="00722F22"/>
  </w:style>
  <w:style w:type="character" w:customStyle="1" w:styleId="citation-79">
    <w:name w:val="citation-79"/>
    <w:basedOn w:val="Predvolenpsmoodseku"/>
    <w:rsid w:val="00722F22"/>
  </w:style>
  <w:style w:type="character" w:customStyle="1" w:styleId="citation-78">
    <w:name w:val="citation-78"/>
    <w:basedOn w:val="Predvolenpsmoodseku"/>
    <w:rsid w:val="00722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710">
      <w:bodyDiv w:val="1"/>
      <w:marLeft w:val="0"/>
      <w:marRight w:val="0"/>
      <w:marTop w:val="0"/>
      <w:marBottom w:val="0"/>
      <w:divBdr>
        <w:top w:val="none" w:sz="0" w:space="0" w:color="auto"/>
        <w:left w:val="none" w:sz="0" w:space="0" w:color="auto"/>
        <w:bottom w:val="none" w:sz="0" w:space="0" w:color="auto"/>
        <w:right w:val="none" w:sz="0" w:space="0" w:color="auto"/>
      </w:divBdr>
    </w:div>
    <w:div w:id="12613709">
      <w:bodyDiv w:val="1"/>
      <w:marLeft w:val="0"/>
      <w:marRight w:val="0"/>
      <w:marTop w:val="0"/>
      <w:marBottom w:val="0"/>
      <w:divBdr>
        <w:top w:val="none" w:sz="0" w:space="0" w:color="auto"/>
        <w:left w:val="none" w:sz="0" w:space="0" w:color="auto"/>
        <w:bottom w:val="none" w:sz="0" w:space="0" w:color="auto"/>
        <w:right w:val="none" w:sz="0" w:space="0" w:color="auto"/>
      </w:divBdr>
    </w:div>
    <w:div w:id="98840421">
      <w:bodyDiv w:val="1"/>
      <w:marLeft w:val="0"/>
      <w:marRight w:val="0"/>
      <w:marTop w:val="0"/>
      <w:marBottom w:val="0"/>
      <w:divBdr>
        <w:top w:val="none" w:sz="0" w:space="0" w:color="auto"/>
        <w:left w:val="none" w:sz="0" w:space="0" w:color="auto"/>
        <w:bottom w:val="none" w:sz="0" w:space="0" w:color="auto"/>
        <w:right w:val="none" w:sz="0" w:space="0" w:color="auto"/>
      </w:divBdr>
    </w:div>
    <w:div w:id="105664865">
      <w:bodyDiv w:val="1"/>
      <w:marLeft w:val="0"/>
      <w:marRight w:val="0"/>
      <w:marTop w:val="0"/>
      <w:marBottom w:val="0"/>
      <w:divBdr>
        <w:top w:val="none" w:sz="0" w:space="0" w:color="auto"/>
        <w:left w:val="none" w:sz="0" w:space="0" w:color="auto"/>
        <w:bottom w:val="none" w:sz="0" w:space="0" w:color="auto"/>
        <w:right w:val="none" w:sz="0" w:space="0" w:color="auto"/>
      </w:divBdr>
    </w:div>
    <w:div w:id="113906357">
      <w:bodyDiv w:val="1"/>
      <w:marLeft w:val="0"/>
      <w:marRight w:val="0"/>
      <w:marTop w:val="0"/>
      <w:marBottom w:val="0"/>
      <w:divBdr>
        <w:top w:val="none" w:sz="0" w:space="0" w:color="auto"/>
        <w:left w:val="none" w:sz="0" w:space="0" w:color="auto"/>
        <w:bottom w:val="none" w:sz="0" w:space="0" w:color="auto"/>
        <w:right w:val="none" w:sz="0" w:space="0" w:color="auto"/>
      </w:divBdr>
    </w:div>
    <w:div w:id="248933540">
      <w:bodyDiv w:val="1"/>
      <w:marLeft w:val="0"/>
      <w:marRight w:val="0"/>
      <w:marTop w:val="0"/>
      <w:marBottom w:val="0"/>
      <w:divBdr>
        <w:top w:val="none" w:sz="0" w:space="0" w:color="auto"/>
        <w:left w:val="none" w:sz="0" w:space="0" w:color="auto"/>
        <w:bottom w:val="none" w:sz="0" w:space="0" w:color="auto"/>
        <w:right w:val="none" w:sz="0" w:space="0" w:color="auto"/>
      </w:divBdr>
    </w:div>
    <w:div w:id="321275754">
      <w:bodyDiv w:val="1"/>
      <w:marLeft w:val="0"/>
      <w:marRight w:val="0"/>
      <w:marTop w:val="0"/>
      <w:marBottom w:val="0"/>
      <w:divBdr>
        <w:top w:val="none" w:sz="0" w:space="0" w:color="auto"/>
        <w:left w:val="none" w:sz="0" w:space="0" w:color="auto"/>
        <w:bottom w:val="none" w:sz="0" w:space="0" w:color="auto"/>
        <w:right w:val="none" w:sz="0" w:space="0" w:color="auto"/>
      </w:divBdr>
    </w:div>
    <w:div w:id="357388912">
      <w:bodyDiv w:val="1"/>
      <w:marLeft w:val="0"/>
      <w:marRight w:val="0"/>
      <w:marTop w:val="0"/>
      <w:marBottom w:val="0"/>
      <w:divBdr>
        <w:top w:val="none" w:sz="0" w:space="0" w:color="auto"/>
        <w:left w:val="none" w:sz="0" w:space="0" w:color="auto"/>
        <w:bottom w:val="none" w:sz="0" w:space="0" w:color="auto"/>
        <w:right w:val="none" w:sz="0" w:space="0" w:color="auto"/>
      </w:divBdr>
    </w:div>
    <w:div w:id="357437792">
      <w:bodyDiv w:val="1"/>
      <w:marLeft w:val="0"/>
      <w:marRight w:val="0"/>
      <w:marTop w:val="0"/>
      <w:marBottom w:val="0"/>
      <w:divBdr>
        <w:top w:val="none" w:sz="0" w:space="0" w:color="auto"/>
        <w:left w:val="none" w:sz="0" w:space="0" w:color="auto"/>
        <w:bottom w:val="none" w:sz="0" w:space="0" w:color="auto"/>
        <w:right w:val="none" w:sz="0" w:space="0" w:color="auto"/>
      </w:divBdr>
    </w:div>
    <w:div w:id="391660721">
      <w:bodyDiv w:val="1"/>
      <w:marLeft w:val="0"/>
      <w:marRight w:val="0"/>
      <w:marTop w:val="0"/>
      <w:marBottom w:val="0"/>
      <w:divBdr>
        <w:top w:val="none" w:sz="0" w:space="0" w:color="auto"/>
        <w:left w:val="none" w:sz="0" w:space="0" w:color="auto"/>
        <w:bottom w:val="none" w:sz="0" w:space="0" w:color="auto"/>
        <w:right w:val="none" w:sz="0" w:space="0" w:color="auto"/>
      </w:divBdr>
    </w:div>
    <w:div w:id="478033070">
      <w:bodyDiv w:val="1"/>
      <w:marLeft w:val="0"/>
      <w:marRight w:val="0"/>
      <w:marTop w:val="0"/>
      <w:marBottom w:val="0"/>
      <w:divBdr>
        <w:top w:val="none" w:sz="0" w:space="0" w:color="auto"/>
        <w:left w:val="none" w:sz="0" w:space="0" w:color="auto"/>
        <w:bottom w:val="none" w:sz="0" w:space="0" w:color="auto"/>
        <w:right w:val="none" w:sz="0" w:space="0" w:color="auto"/>
      </w:divBdr>
    </w:div>
    <w:div w:id="656808521">
      <w:bodyDiv w:val="1"/>
      <w:marLeft w:val="0"/>
      <w:marRight w:val="0"/>
      <w:marTop w:val="0"/>
      <w:marBottom w:val="0"/>
      <w:divBdr>
        <w:top w:val="none" w:sz="0" w:space="0" w:color="auto"/>
        <w:left w:val="none" w:sz="0" w:space="0" w:color="auto"/>
        <w:bottom w:val="none" w:sz="0" w:space="0" w:color="auto"/>
        <w:right w:val="none" w:sz="0" w:space="0" w:color="auto"/>
      </w:divBdr>
    </w:div>
    <w:div w:id="700128011">
      <w:bodyDiv w:val="1"/>
      <w:marLeft w:val="0"/>
      <w:marRight w:val="0"/>
      <w:marTop w:val="0"/>
      <w:marBottom w:val="0"/>
      <w:divBdr>
        <w:top w:val="none" w:sz="0" w:space="0" w:color="auto"/>
        <w:left w:val="none" w:sz="0" w:space="0" w:color="auto"/>
        <w:bottom w:val="none" w:sz="0" w:space="0" w:color="auto"/>
        <w:right w:val="none" w:sz="0" w:space="0" w:color="auto"/>
      </w:divBdr>
    </w:div>
    <w:div w:id="831408022">
      <w:bodyDiv w:val="1"/>
      <w:marLeft w:val="0"/>
      <w:marRight w:val="0"/>
      <w:marTop w:val="0"/>
      <w:marBottom w:val="0"/>
      <w:divBdr>
        <w:top w:val="none" w:sz="0" w:space="0" w:color="auto"/>
        <w:left w:val="none" w:sz="0" w:space="0" w:color="auto"/>
        <w:bottom w:val="none" w:sz="0" w:space="0" w:color="auto"/>
        <w:right w:val="none" w:sz="0" w:space="0" w:color="auto"/>
      </w:divBdr>
    </w:div>
    <w:div w:id="848527036">
      <w:bodyDiv w:val="1"/>
      <w:marLeft w:val="0"/>
      <w:marRight w:val="0"/>
      <w:marTop w:val="0"/>
      <w:marBottom w:val="0"/>
      <w:divBdr>
        <w:top w:val="none" w:sz="0" w:space="0" w:color="auto"/>
        <w:left w:val="none" w:sz="0" w:space="0" w:color="auto"/>
        <w:bottom w:val="none" w:sz="0" w:space="0" w:color="auto"/>
        <w:right w:val="none" w:sz="0" w:space="0" w:color="auto"/>
      </w:divBdr>
    </w:div>
    <w:div w:id="929194401">
      <w:bodyDiv w:val="1"/>
      <w:marLeft w:val="0"/>
      <w:marRight w:val="0"/>
      <w:marTop w:val="0"/>
      <w:marBottom w:val="0"/>
      <w:divBdr>
        <w:top w:val="none" w:sz="0" w:space="0" w:color="auto"/>
        <w:left w:val="none" w:sz="0" w:space="0" w:color="auto"/>
        <w:bottom w:val="none" w:sz="0" w:space="0" w:color="auto"/>
        <w:right w:val="none" w:sz="0" w:space="0" w:color="auto"/>
      </w:divBdr>
    </w:div>
    <w:div w:id="1072705206">
      <w:bodyDiv w:val="1"/>
      <w:marLeft w:val="0"/>
      <w:marRight w:val="0"/>
      <w:marTop w:val="0"/>
      <w:marBottom w:val="0"/>
      <w:divBdr>
        <w:top w:val="none" w:sz="0" w:space="0" w:color="auto"/>
        <w:left w:val="none" w:sz="0" w:space="0" w:color="auto"/>
        <w:bottom w:val="none" w:sz="0" w:space="0" w:color="auto"/>
        <w:right w:val="none" w:sz="0" w:space="0" w:color="auto"/>
      </w:divBdr>
    </w:div>
    <w:div w:id="1089080620">
      <w:bodyDiv w:val="1"/>
      <w:marLeft w:val="0"/>
      <w:marRight w:val="0"/>
      <w:marTop w:val="0"/>
      <w:marBottom w:val="0"/>
      <w:divBdr>
        <w:top w:val="none" w:sz="0" w:space="0" w:color="auto"/>
        <w:left w:val="none" w:sz="0" w:space="0" w:color="auto"/>
        <w:bottom w:val="none" w:sz="0" w:space="0" w:color="auto"/>
        <w:right w:val="none" w:sz="0" w:space="0" w:color="auto"/>
      </w:divBdr>
    </w:div>
    <w:div w:id="1163735462">
      <w:bodyDiv w:val="1"/>
      <w:marLeft w:val="0"/>
      <w:marRight w:val="0"/>
      <w:marTop w:val="0"/>
      <w:marBottom w:val="0"/>
      <w:divBdr>
        <w:top w:val="none" w:sz="0" w:space="0" w:color="auto"/>
        <w:left w:val="none" w:sz="0" w:space="0" w:color="auto"/>
        <w:bottom w:val="none" w:sz="0" w:space="0" w:color="auto"/>
        <w:right w:val="none" w:sz="0" w:space="0" w:color="auto"/>
      </w:divBdr>
    </w:div>
    <w:div w:id="1180585448">
      <w:bodyDiv w:val="1"/>
      <w:marLeft w:val="0"/>
      <w:marRight w:val="0"/>
      <w:marTop w:val="0"/>
      <w:marBottom w:val="0"/>
      <w:divBdr>
        <w:top w:val="none" w:sz="0" w:space="0" w:color="auto"/>
        <w:left w:val="none" w:sz="0" w:space="0" w:color="auto"/>
        <w:bottom w:val="none" w:sz="0" w:space="0" w:color="auto"/>
        <w:right w:val="none" w:sz="0" w:space="0" w:color="auto"/>
      </w:divBdr>
    </w:div>
    <w:div w:id="1260214456">
      <w:bodyDiv w:val="1"/>
      <w:marLeft w:val="0"/>
      <w:marRight w:val="0"/>
      <w:marTop w:val="0"/>
      <w:marBottom w:val="0"/>
      <w:divBdr>
        <w:top w:val="none" w:sz="0" w:space="0" w:color="auto"/>
        <w:left w:val="none" w:sz="0" w:space="0" w:color="auto"/>
        <w:bottom w:val="none" w:sz="0" w:space="0" w:color="auto"/>
        <w:right w:val="none" w:sz="0" w:space="0" w:color="auto"/>
      </w:divBdr>
    </w:div>
    <w:div w:id="1415207034">
      <w:bodyDiv w:val="1"/>
      <w:marLeft w:val="0"/>
      <w:marRight w:val="0"/>
      <w:marTop w:val="0"/>
      <w:marBottom w:val="0"/>
      <w:divBdr>
        <w:top w:val="none" w:sz="0" w:space="0" w:color="auto"/>
        <w:left w:val="none" w:sz="0" w:space="0" w:color="auto"/>
        <w:bottom w:val="none" w:sz="0" w:space="0" w:color="auto"/>
        <w:right w:val="none" w:sz="0" w:space="0" w:color="auto"/>
      </w:divBdr>
    </w:div>
    <w:div w:id="1467434162">
      <w:bodyDiv w:val="1"/>
      <w:marLeft w:val="0"/>
      <w:marRight w:val="0"/>
      <w:marTop w:val="0"/>
      <w:marBottom w:val="0"/>
      <w:divBdr>
        <w:top w:val="none" w:sz="0" w:space="0" w:color="auto"/>
        <w:left w:val="none" w:sz="0" w:space="0" w:color="auto"/>
        <w:bottom w:val="none" w:sz="0" w:space="0" w:color="auto"/>
        <w:right w:val="none" w:sz="0" w:space="0" w:color="auto"/>
      </w:divBdr>
    </w:div>
    <w:div w:id="1509255196">
      <w:bodyDiv w:val="1"/>
      <w:marLeft w:val="0"/>
      <w:marRight w:val="0"/>
      <w:marTop w:val="0"/>
      <w:marBottom w:val="0"/>
      <w:divBdr>
        <w:top w:val="none" w:sz="0" w:space="0" w:color="auto"/>
        <w:left w:val="none" w:sz="0" w:space="0" w:color="auto"/>
        <w:bottom w:val="none" w:sz="0" w:space="0" w:color="auto"/>
        <w:right w:val="none" w:sz="0" w:space="0" w:color="auto"/>
      </w:divBdr>
    </w:div>
    <w:div w:id="1666931874">
      <w:bodyDiv w:val="1"/>
      <w:marLeft w:val="0"/>
      <w:marRight w:val="0"/>
      <w:marTop w:val="0"/>
      <w:marBottom w:val="0"/>
      <w:divBdr>
        <w:top w:val="none" w:sz="0" w:space="0" w:color="auto"/>
        <w:left w:val="none" w:sz="0" w:space="0" w:color="auto"/>
        <w:bottom w:val="none" w:sz="0" w:space="0" w:color="auto"/>
        <w:right w:val="none" w:sz="0" w:space="0" w:color="auto"/>
      </w:divBdr>
    </w:div>
    <w:div w:id="1785806896">
      <w:bodyDiv w:val="1"/>
      <w:marLeft w:val="0"/>
      <w:marRight w:val="0"/>
      <w:marTop w:val="0"/>
      <w:marBottom w:val="0"/>
      <w:divBdr>
        <w:top w:val="none" w:sz="0" w:space="0" w:color="auto"/>
        <w:left w:val="none" w:sz="0" w:space="0" w:color="auto"/>
        <w:bottom w:val="none" w:sz="0" w:space="0" w:color="auto"/>
        <w:right w:val="none" w:sz="0" w:space="0" w:color="auto"/>
      </w:divBdr>
    </w:div>
    <w:div w:id="1813327775">
      <w:bodyDiv w:val="1"/>
      <w:marLeft w:val="0"/>
      <w:marRight w:val="0"/>
      <w:marTop w:val="0"/>
      <w:marBottom w:val="0"/>
      <w:divBdr>
        <w:top w:val="none" w:sz="0" w:space="0" w:color="auto"/>
        <w:left w:val="none" w:sz="0" w:space="0" w:color="auto"/>
        <w:bottom w:val="none" w:sz="0" w:space="0" w:color="auto"/>
        <w:right w:val="none" w:sz="0" w:space="0" w:color="auto"/>
      </w:divBdr>
    </w:div>
    <w:div w:id="1840151237">
      <w:bodyDiv w:val="1"/>
      <w:marLeft w:val="0"/>
      <w:marRight w:val="0"/>
      <w:marTop w:val="0"/>
      <w:marBottom w:val="0"/>
      <w:divBdr>
        <w:top w:val="none" w:sz="0" w:space="0" w:color="auto"/>
        <w:left w:val="none" w:sz="0" w:space="0" w:color="auto"/>
        <w:bottom w:val="none" w:sz="0" w:space="0" w:color="auto"/>
        <w:right w:val="none" w:sz="0" w:space="0" w:color="auto"/>
      </w:divBdr>
    </w:div>
    <w:div w:id="1891575809">
      <w:bodyDiv w:val="1"/>
      <w:marLeft w:val="0"/>
      <w:marRight w:val="0"/>
      <w:marTop w:val="0"/>
      <w:marBottom w:val="0"/>
      <w:divBdr>
        <w:top w:val="none" w:sz="0" w:space="0" w:color="auto"/>
        <w:left w:val="none" w:sz="0" w:space="0" w:color="auto"/>
        <w:bottom w:val="none" w:sz="0" w:space="0" w:color="auto"/>
        <w:right w:val="none" w:sz="0" w:space="0" w:color="auto"/>
      </w:divBdr>
    </w:div>
    <w:div w:id="1903246768">
      <w:bodyDiv w:val="1"/>
      <w:marLeft w:val="0"/>
      <w:marRight w:val="0"/>
      <w:marTop w:val="0"/>
      <w:marBottom w:val="0"/>
      <w:divBdr>
        <w:top w:val="none" w:sz="0" w:space="0" w:color="auto"/>
        <w:left w:val="none" w:sz="0" w:space="0" w:color="auto"/>
        <w:bottom w:val="none" w:sz="0" w:space="0" w:color="auto"/>
        <w:right w:val="none" w:sz="0" w:space="0" w:color="auto"/>
      </w:divBdr>
    </w:div>
    <w:div w:id="1914271717">
      <w:bodyDiv w:val="1"/>
      <w:marLeft w:val="0"/>
      <w:marRight w:val="0"/>
      <w:marTop w:val="0"/>
      <w:marBottom w:val="0"/>
      <w:divBdr>
        <w:top w:val="none" w:sz="0" w:space="0" w:color="auto"/>
        <w:left w:val="none" w:sz="0" w:space="0" w:color="auto"/>
        <w:bottom w:val="none" w:sz="0" w:space="0" w:color="auto"/>
        <w:right w:val="none" w:sz="0" w:space="0" w:color="auto"/>
      </w:divBdr>
    </w:div>
    <w:div w:id="1937204926">
      <w:bodyDiv w:val="1"/>
      <w:marLeft w:val="0"/>
      <w:marRight w:val="0"/>
      <w:marTop w:val="0"/>
      <w:marBottom w:val="0"/>
      <w:divBdr>
        <w:top w:val="none" w:sz="0" w:space="0" w:color="auto"/>
        <w:left w:val="none" w:sz="0" w:space="0" w:color="auto"/>
        <w:bottom w:val="none" w:sz="0" w:space="0" w:color="auto"/>
        <w:right w:val="none" w:sz="0" w:space="0" w:color="auto"/>
      </w:divBdr>
    </w:div>
    <w:div w:id="1992171799">
      <w:bodyDiv w:val="1"/>
      <w:marLeft w:val="0"/>
      <w:marRight w:val="0"/>
      <w:marTop w:val="0"/>
      <w:marBottom w:val="0"/>
      <w:divBdr>
        <w:top w:val="none" w:sz="0" w:space="0" w:color="auto"/>
        <w:left w:val="none" w:sz="0" w:space="0" w:color="auto"/>
        <w:bottom w:val="none" w:sz="0" w:space="0" w:color="auto"/>
        <w:right w:val="none" w:sz="0" w:space="0" w:color="auto"/>
      </w:divBdr>
    </w:div>
    <w:div w:id="2067490091">
      <w:bodyDiv w:val="1"/>
      <w:marLeft w:val="0"/>
      <w:marRight w:val="0"/>
      <w:marTop w:val="0"/>
      <w:marBottom w:val="0"/>
      <w:divBdr>
        <w:top w:val="none" w:sz="0" w:space="0" w:color="auto"/>
        <w:left w:val="none" w:sz="0" w:space="0" w:color="auto"/>
        <w:bottom w:val="none" w:sz="0" w:space="0" w:color="auto"/>
        <w:right w:val="none" w:sz="0" w:space="0" w:color="auto"/>
      </w:divBdr>
    </w:div>
    <w:div w:id="2108646288">
      <w:bodyDiv w:val="1"/>
      <w:marLeft w:val="0"/>
      <w:marRight w:val="0"/>
      <w:marTop w:val="0"/>
      <w:marBottom w:val="0"/>
      <w:divBdr>
        <w:top w:val="none" w:sz="0" w:space="0" w:color="auto"/>
        <w:left w:val="none" w:sz="0" w:space="0" w:color="auto"/>
        <w:bottom w:val="none" w:sz="0" w:space="0" w:color="auto"/>
        <w:right w:val="none" w:sz="0" w:space="0" w:color="auto"/>
      </w:divBdr>
    </w:div>
    <w:div w:id="213301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F286C-48FB-4A51-9D34-BA3E69301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Pages>
  <Words>2187</Words>
  <Characters>12467</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Rezova</dc:creator>
  <cp:keywords/>
  <dc:description/>
  <cp:lastModifiedBy>User3</cp:lastModifiedBy>
  <cp:revision>4</cp:revision>
  <dcterms:created xsi:type="dcterms:W3CDTF">2026-10-09T11:53:00Z</dcterms:created>
  <dcterms:modified xsi:type="dcterms:W3CDTF">2026-10-09T13:13:00Z</dcterms:modified>
</cp:coreProperties>
</file>